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 Light" w:hAnsi="Helvetica Light" w:cs="Helvetica Light"/>
          <w:sz w:val="24"/>
          <w:sz-cs w:val="24"/>
        </w:rPr>
        <w:t xml:space="preserve"># Original BRD vs Current CashLine Scope Gap Analysis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Date: 2026-04-20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Source baseline reviewed: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`/Users/gabr/Downloads/Shatta PPP/ERP_BRD_Dual_Portal_Egypt_Finance_Inventory_Localized_v1_2.docx`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Current implementation evidence reviewed: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`docs/MODULE_TECHNICAL_DESIGN_LOG.md`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`docs/IMPLEMENTATION_PROGRESS.md`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`docs/V1_PRODUCTION_MVP_GO_LIVE_DECISION_2026-04-20.md`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`ops/cutover/mvp-production-scope.json`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backend/application/module folder structure under `src/backend`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module design records under `docs/module-design`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## Executive Summary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The original BRD defined a dual-portal ERP for institutional supply, contracting, inventory, delivery, finance, Egypt tax localization, ETA e-invoicing, maker/checker governance, and SAP-aligned inventory management.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Since project start, the product scope has materially expanded beyond the original BRD. The implemented and designed system now includes a broader platform operating model covering production-MVP governance, system-owner and administrator control, granular function governance, public onboarding, KYC review, desktop delivery, asynchronous processing, notifications, gateway payments, FX, Islamic Finance, operational monitoring, API/developer publication, architecture documentation, and a redesigned bilingual enterprise shell.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The original BRD remains valid as a foundation, but it no longer describes the full current product. A new BRD is required.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## Major Scope Added After The Original BRD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Area | Original BRD Coverage | Current Added Scope | Gap Status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|---|---|---|---|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Release model | General implementation phases | Controlled V1 production MVP, named-user rollout, go-live gates, cutover package, readiness automation, rollback runbooks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System ownership | Super Admin/Admin only | Dedicated `System_Owner` bootstrap/governance role limited to Administrator creation and Administrator activity reporting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Administrator governance | User and role management | Administrator-only user creation, function administration, mandatory reason capture for suspend/hold/delete, user reports, function governance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Function governance | RBAC and maker/checker | Configurable portal menu sections, role/function sets, backend route enforcement, side-menu visibility by role/user type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Public onboarding | Supplier/customer onboarding | Public self-registration, onboarding policies, KYC checklist evaluation, review findings, hold/return/reject/reopen, activation readiness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Notifications | Alerts and workflow notifications | Notification templates, queue orchestration, retry/failure/recovery, user notification center concept, async worker handling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Async architecture | Not detailed | Outbox, inbox, dead-letter replay, worker processors, callback processing, event publishing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Desktop app | Not in original scope | Electron-style desktop wrapper, desktop security/session controls, controlled release and packaging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UI/UX model | General role dashboards | Kendo/enterprise shell, sidebar dropdowns, top bar/breadcrumb polish, Arabic RTL, removal of demo guidance, watermark, production visual cleanup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API/developer platform | Basic integrations | API documentation, OpenAPI snapshot, partner developer portal, release versioning, changelog, deprecation policy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Architecture artifacts | Architecture out of scope | Application, integration, deployment, DevOps, data architecture, ERD, diagram packs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Payments | Supplier payment lifecycle | Paymob/Fawry provider configuration, gateway execution, callbacks, settlement orchestration, wallet/card token references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FX/multi-currency | Foreign currency should be supported | USD/EGP priority lane, FX quote history, manual FX override, revaluation, accounting impacts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Finance controls | GL, AR/AP, close, statements | AP reversal, bank transfer batches, cash/treasury transfer, collections workbench, aging, statements, withholding tax, close hardening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Inventory | SAP-aligned inventory | Stock count, variance, warehouse transfer, replenishment, safety stock, expiry/quarantine/damaged stock, lot/serial deepening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Sales/commercial controls | Order and contract execution | Pricing engine, external pricing visibility, discount override, credit control, returns, credit notes, POD and failed delivery recovery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Islamic Finance | Not in original BRD | Islamic Finance domain, partner lenders, product profiles, facilities, Shariah reviews, Murabaha cases, contracts, disbursements, settlements, receivables finance, reporting | Added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Murabaha operations | Not in original BRD | Parallel-service architecture, Murabaha state model, PO/GR, margin, installment servicing, delinquency, restructure, servicing notices | Added/deferred for MVP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Regulatory fintech layer | Egypt tax/ETA only | FRA Law No. 5-oriented fit-gap for role clarity, digital identity, e-contracts, e-records, outsourcing register, sandbox, Arabic disclosures | Added as target gap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QA/governance | Acceptance criteria | Deep QA/QC, architecture fitness, state transition, negative testing, async monitoring, test evidence export | Expanded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## Original BRD Scope Still Valid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The following original BRD areas remain valid and should be preserved in the new BRD: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dual portal architecture with shared backend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internal ERP and external supplier/customer portals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role-based access control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maker/checker governance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supplier and customer onboarding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procurement, purchase order, goods receipt, inventory, delivery, invoicing, collections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Egypt finance, tax, statutory reporting, and ETA e-invoicing requirements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SAP-aligned inventory visibility, stock movement, replenishment, and count controls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reporting, audit, data segregation, document retention, and operational dashboards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## Original BRD Areas Requiring Reframing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Original Area | Required Reframe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|---|---|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“Super Admin” | Replace with controlled hierarchy: `System_Owner` for Administrator bootstrap/governance, `Administrator` for user/function governance, operational roles for business workflows.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“External portal” | Reframe as supplier and customer role-specific packages with onboarding, profile, statements, documents, requests, payments/status, and role-restricted functions.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“Admin” | Expand into user lifecycle, function configuration, portal menu governance, reports, status reasons, and auditability.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“Notifications” | Expand from simple alerts into notification center, templates, queue, retry, failure, recovery, and audit trail.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“Integration requirements” | Expand into integration endpoint registry, outbox/inbox, callbacks, dead-letter replay, gateway adapters, ETA, developer portal, OpenAPI, and partner publication.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“Reporting” | Expand into role-based operational reports, drilldowns, export/print, user administration reports, finance statements, supplier/customer statements, Islamic Finance reports, and go-live evidence packs.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| “Go-live” | Reframe as Production MVP with explicitly deferred/held scope rather than full enterprise-suite launch. |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## Production MVP Scope Impact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The current production strategy is not a full enterprise-suite go-live. It is a controlled named-user production MVP.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Included in MVP: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public landing and authenticated access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supplier and customer self-onboarding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operations onboarding review and case lifecycle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supplier and customer profile activation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administrator user provisioning and function administration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system-owner administrator governance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role-based navigation and backend access enforcement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core supplier/customer portal read models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core procurement, sales, AP, AR, and finance visibility where evidenced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workflow, audit, notifications, reporting snapshots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web portal and desktop wrapper consistency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SQL Server production path and rollback procedure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Deferred or held outside MVP: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full Islamic Finance go-live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Murabaha operations go-live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Oracle parity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broad unrestricted rollout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live ETA target-environment qualification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Paymob/Fawry live target-environment qualification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full FRA fintech compliance certification claims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## New BRD Recommendation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The new BRD should supersede the original BRD while preserving it as historical baseline. It should be titled: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`CashLine ERP Detailed Business Requirements Document - Current Baseline and Production MVP`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The new BRD should include: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current business context and operating model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portal/channel model covering web and desktop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role model covering System Owner, Administrator, internal users, suppliers, customers, and future regulated roles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function-governance model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onboarding and KYC model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core ERP modules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finance, tax, payments, FX, and reporting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inventory and delivery controls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Islamic Finance and Murabaha as extended/deferred domains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regulatory fintech fit-gap requirements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integration, async, notification, API, and developer portal requirements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UI/UX and Arabic/RTL production requirements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>- production MVP scope, deferrals, risks, and acceptance criteria</w:t>
      </w:r>
    </w:p>
    <w:p>
      <w:pPr/>
      <w:r>
        <w:rPr>
          <w:rFonts w:ascii="Helvetica Light" w:hAnsi="Helvetica Light" w:cs="Helvetica Light"/>
          <w:sz w:val="24"/>
          <w:sz-cs w:val="24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CocoaOOXMLWriter/2685.4</generator>
</meta>
</file>