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CTO MVP Handover Package 1</w:t>
      </w:r>
    </w:p>
    <w:p>
      <w:pPr>
        <w:pStyle w:val="CoverSubtitle"/>
        <w:jc w:val="center"/>
      </w:pPr>
      <w:r>
        <w:rPr>
          <w:rFonts w:ascii="Tajawal" w:hAnsi="Tajawal" w:cs="Tajawal" w:eastAsia="Tajawal"/>
        </w:rPr>
        <w:t xml:space="preserve">Privacy, National ID, Customer Reference, Backend Services, APIs, Database Controls, and Frontend Enforcement</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Executive Branded CTO Handover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2026-04-27</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Generated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2026-04-27</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Prepared For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CTO Office, Engineering, Architecture, API Owners, Data Governance, Compliance, Operations, and Continuity Leads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Provide a self-contained executive-branded handover for privacy governance, firm national ID uniqueness, and the customer/supplier reference mechanism implemented in MVP.</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logic, frontend, backend, APIs, database structure, uniqueness rules, workflow impact, tests, and supporting continuity artifacts.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Confidentiality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CashLine use only; technical governance and continuity handover.</w:t>
            </w:r>
          </w:p>
        </w:tc>
      </w:tr>
    </w:tbl>
    <w:p>
      <w:pPr>
        <w:pStyle w:val="BodyText"/>
        <w:spacing w:after="120"/>
      </w:pPr>
    </w:p>
    <w:p>
      <w:pPr>
        <w:pStyle w:val="Caption"/>
        <w:jc w:val="center"/>
      </w:pPr>
      <w:r>
        <w:rPr>
          <w:rFonts w:ascii="Tajawal" w:hAnsi="Tajawal" w:cs="Tajawal" w:eastAsia="Tajawal"/>
        </w:rPr>
        <w:t xml:space="preserve">Confidential - Prepared for CashLine ERP CTO review, continuity, release governance, and executive handover use.</w:t>
      </w:r>
    </w:p>
    <w:p>
      <w:r>
        <w:br w:type="page"/>
      </w:r>
    </w:p>
    <w:p>
      <w:pPr>
        <w:pStyle w:val="Heading1"/>
      </w:pPr>
      <w:r>
        <w:rPr>
          <w:rFonts w:ascii="Tajawal" w:hAnsi="Tajawal" w:cs="Tajawal" w:eastAsia="Tajawal"/>
        </w:rPr>
        <w:t xml:space="preserve">Document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Source Input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docs/CTO_MVP_HANDOVER_PACKAGE_1_PRIVACY_NATIONAL_ID_CUSTOMER_REFERENCE_2026-04-27.md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Audience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CTO, platform architects, backend/API engineers, frontend leads, database owners, compliance, and governance reviewers.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Position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Implemented MVP baseline with operational follow-up controls; broader privacy operations automation remains a later phase.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Coverage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note, backend services, APIs, frontend components, database structure, validations, workflows, supporting artifacts, and continuity files.</w:t>
            </w:r>
          </w:p>
        </w:tc>
      </w:tr>
    </w:tbl>
    <w:p>
      <w:pPr>
        <w:pStyle w:val="BodyText"/>
        <w:spacing w:after="120"/>
      </w:pPr>
    </w:p>
    <w:p>
      <w:r>
        <w:br w:type="page"/>
      </w:r>
    </w:p>
    <w:p>
      <w:pPr>
        <w:pStyle w:val="Heading2"/>
      </w:pPr>
      <w:r>
        <w:rPr>
          <w:rFonts w:ascii="Tajawal" w:hAnsi="Tajawal" w:cs="Tajawal" w:eastAsia="Tajawal"/>
        </w:rPr>
        <w:t xml:space="preserve">1. Business Description Note</w:t>
      </w:r>
    </w:p>
    <w:p>
      <w:pPr>
        <w:pStyle w:val="BodyText"/>
      </w:pPr>
      <w:r>
        <w:rPr>
          <w:rFonts w:ascii="Tajawal" w:hAnsi="Tajawal" w:cs="Tajawal" w:eastAsia="Tajawal"/>
        </w:rPr>
        <w:t xml:space="preserve">This package covers the control set that makes the MVP party-onboarding baseline governable and operationally traceable.</w:t>
      </w:r>
    </w:p>
    <w:p>
      <w:pPr>
        <w:pStyle w:val="Callout"/>
      </w:pPr>
      <w:r>
        <w:rPr>
          <w:rFonts w:ascii="Tajawal" w:hAnsi="Tajawal" w:cs="Tajawal" w:eastAsia="Tajawal"/>
        </w:rPr>
        <w:t xml:space="preserve">The three capabilities included here operate together:</w:t>
      </w:r>
    </w:p>
    <w:p>
      <w:pPr>
        <w:pStyle w:val="BodyText"/>
      </w:pPr>
      <w:r>
        <w:rPr>
          <w:rFonts w:ascii="Tajawal" w:hAnsi="Tajawal" w:cs="Tajawal" w:eastAsia="Tajawal"/>
        </w:rPr>
        <w:t xml:space="preserve">1. Data privacy governance provides the public and internal privacy notice baseline, consent-purpose model, masking rules, sharing rules, and readiness controls that define how supplier and customer data is intended to be handled in the MVP. 2. Egypt firm national ID capture adds a separate legal/business identifier for organization entities. It is optional for MVP onboarding, but when supplied it is enforced as globally unique across the live active-party estate. 3. The system-generated party code acts as the internal and operational customer/supplier reference mechanism. It remains the stable system identifier used across onboarding, workflows, reporting, and downstream operational visibility even when the firm national ID is absent.</w:t>
      </w:r>
    </w:p>
    <w:p>
      <w:pPr>
        <w:pStyle w:val="Callout"/>
      </w:pPr>
      <w:r>
        <w:rPr>
          <w:rFonts w:ascii="Tajawal" w:hAnsi="Tajawal" w:cs="Tajawal" w:eastAsia="Tajawal"/>
        </w:rPr>
        <w:t xml:space="preserve">From a business perspective, this means:</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can proceed without blocking the user when the firm national ID is not yet available,</w:t>
      </w:r>
    </w:p>
    <w:p>
      <w:pPr>
        <w:pStyle w:val="ListParagraph"/>
      </w:pPr>
      <w:r>
        <w:rPr>
          <w:rFonts w:ascii="Tajawal" w:hAnsi="Tajawal" w:cs="Tajawal" w:eastAsia="Tajawal"/>
          <w:color w:val="7A3512"/>
          <w:sz w:val="22"/>
          <w:szCs w:val="22"/>
        </w:rPr>
        <w:t>• </w:t>
      </w:r>
      <w:r>
        <w:rPr>
          <w:rFonts w:ascii="Tajawal" w:hAnsi="Tajawal" w:cs="Tajawal" w:eastAsia="Tajawal"/>
        </w:rPr>
        <w:t xml:space="preserve">the system still prevents duplicate registration when the national ID is supplied,</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can follow up incomplete records after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and the platform maintains a production-usable reference identity for supplier and customer entities through the generated party code.</w:t>
      </w:r>
    </w:p>
    <w:p>
      <w:pPr>
        <w:pBdr>
          <w:bottom w:val="single" w:sz="12" w:space="1" w:color="A94F18"/>
        </w:pBdr>
        <w:spacing w:after="240"/>
      </w:pPr>
    </w:p>
    <w:p>
      <w:pPr>
        <w:pStyle w:val="Heading2"/>
      </w:pPr>
      <w:r>
        <w:rPr>
          <w:rFonts w:ascii="Tajawal" w:hAnsi="Tajawal" w:cs="Tajawal" w:eastAsia="Tajawal"/>
        </w:rPr>
        <w:t xml:space="preserve">2. Package Scope</w:t>
      </w:r>
    </w:p>
    <w:p>
      <w:pPr>
        <w:pStyle w:val="Callout"/>
      </w:pPr>
      <w:r>
        <w:rPr>
          <w:rFonts w:ascii="Tajawal" w:hAnsi="Tajawal" w:cs="Tajawal" w:eastAsia="Tajawal"/>
        </w:rPr>
        <w:t xml:space="preserve">In scope:</w:t>
      </w:r>
    </w:p>
    <w:p>
      <w:pPr>
        <w:pStyle w:val="ListParagraph"/>
      </w:pPr>
      <w:r>
        <w:rPr>
          <w:rFonts w:ascii="Tajawal" w:hAnsi="Tajawal" w:cs="Tajawal" w:eastAsia="Tajawal"/>
          <w:color w:val="7A3512"/>
          <w:sz w:val="22"/>
          <w:szCs w:val="22"/>
        </w:rPr>
        <w:t>• </w:t>
      </w:r>
      <w:r>
        <w:rPr>
          <w:rFonts w:ascii="Tajawal" w:hAnsi="Tajawal" w:cs="Tajawal" w:eastAsia="Tajawal"/>
        </w:rPr>
        <w:t xml:space="preserve">public privacy governance API</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privacy governance API</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onboarding privacy-notice loading</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bp_party.firm_national_id</w:t>
      </w:r>
      <w:r>
        <w:rPr>
          <w:rFonts w:ascii="Tajawal" w:hAnsi="Tajawal" w:cs="Tajawal" w:eastAsia="Tajawal"/>
        </w:rPr>
        <w:t xml:space="preserve"> data model extension</w:t>
      </w:r>
    </w:p>
    <w:p>
      <w:pPr>
        <w:pStyle w:val="ListParagraph"/>
      </w:pPr>
      <w:r>
        <w:rPr>
          <w:rFonts w:ascii="Tajawal" w:hAnsi="Tajawal" w:cs="Tajawal" w:eastAsia="Tajawal"/>
          <w:color w:val="7A3512"/>
          <w:sz w:val="22"/>
          <w:szCs w:val="22"/>
        </w:rPr>
        <w:t>• </w:t>
      </w:r>
      <w:r>
        <w:rPr>
          <w:rFonts w:ascii="Tajawal" w:hAnsi="Tajawal" w:cs="Tajawal" w:eastAsia="Tajawal"/>
        </w:rPr>
        <w:t xml:space="preserve">duplicate national-ID prevention</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follow-up for parties missing national ID</w:t>
      </w:r>
    </w:p>
    <w:p>
      <w:pPr>
        <w:pStyle w:val="ListParagraph"/>
      </w:pPr>
      <w:r>
        <w:rPr>
          <w:rFonts w:ascii="Tajawal" w:hAnsi="Tajawal" w:cs="Tajawal" w:eastAsia="Tajawal"/>
          <w:color w:val="7A3512"/>
          <w:sz w:val="22"/>
          <w:szCs w:val="22"/>
        </w:rPr>
        <w:t>• </w:t>
      </w:r>
      <w:r>
        <w:rPr>
          <w:rFonts w:ascii="Tajawal" w:hAnsi="Tajawal" w:cs="Tajawal" w:eastAsia="Tajawal"/>
        </w:rPr>
        <w:t xml:space="preserve">system-generated party code / customer reference mechanism</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request/response linkage between party ID, party code, and firm national ID</w:t>
      </w:r>
    </w:p>
    <w:p>
      <w:pPr>
        <w:pStyle w:val="ListParagraph"/>
      </w:pPr>
      <w:r>
        <w:rPr>
          <w:rFonts w:ascii="Tajawal" w:hAnsi="Tajawal" w:cs="Tajawal" w:eastAsia="Tajawal"/>
          <w:color w:val="7A3512"/>
          <w:sz w:val="22"/>
          <w:szCs w:val="22"/>
        </w:rPr>
        <w:t>• </w:t>
      </w:r>
      <w:r>
        <w:rPr>
          <w:rFonts w:ascii="Tajawal" w:hAnsi="Tajawal" w:cs="Tajawal" w:eastAsia="Tajawal"/>
        </w:rPr>
        <w:t xml:space="preserve">supporting tests and bootstrap schema support</w:t>
      </w:r>
    </w:p>
    <w:p>
      <w:pPr>
        <w:pStyle w:val="Callout"/>
      </w:pPr>
      <w:r>
        <w:rPr>
          <w:rFonts w:ascii="Tajawal" w:hAnsi="Tajawal" w:cs="Tajawal" w:eastAsia="Tajawal"/>
        </w:rPr>
        <w:t xml:space="preserve">Out of scope:</w:t>
      </w:r>
    </w:p>
    <w:p>
      <w:pPr>
        <w:pStyle w:val="ListParagraph"/>
      </w:pPr>
      <w:r>
        <w:rPr>
          <w:rFonts w:ascii="Tajawal" w:hAnsi="Tajawal" w:cs="Tajawal" w:eastAsia="Tajawal"/>
          <w:color w:val="7A3512"/>
          <w:sz w:val="22"/>
          <w:szCs w:val="22"/>
        </w:rPr>
        <w:t>• </w:t>
      </w:r>
      <w:r>
        <w:rPr>
          <w:rFonts w:ascii="Tajawal" w:hAnsi="Tajawal" w:cs="Tajawal" w:eastAsia="Tajawal"/>
        </w:rPr>
        <w:t xml:space="preserve">full data-retention job execution</w:t>
      </w:r>
    </w:p>
    <w:p>
      <w:pPr>
        <w:pStyle w:val="ListParagraph"/>
      </w:pPr>
      <w:r>
        <w:rPr>
          <w:rFonts w:ascii="Tajawal" w:hAnsi="Tajawal" w:cs="Tajawal" w:eastAsia="Tajawal"/>
          <w:color w:val="7A3512"/>
          <w:sz w:val="22"/>
          <w:szCs w:val="22"/>
        </w:rPr>
        <w:t>• </w:t>
      </w:r>
      <w:r>
        <w:rPr>
          <w:rFonts w:ascii="Tajawal" w:hAnsi="Tajawal" w:cs="Tajawal" w:eastAsia="Tajawal"/>
        </w:rPr>
        <w:t xml:space="preserve">full masking implementation across every serializer/export</w:t>
      </w:r>
    </w:p>
    <w:p>
      <w:pPr>
        <w:pStyle w:val="ListParagraph"/>
      </w:pPr>
      <w:r>
        <w:rPr>
          <w:rFonts w:ascii="Tajawal" w:hAnsi="Tajawal" w:cs="Tajawal" w:eastAsia="Tajawal"/>
          <w:color w:val="7A3512"/>
          <w:sz w:val="22"/>
          <w:szCs w:val="22"/>
        </w:rPr>
        <w:t>• </w:t>
      </w:r>
      <w:r>
        <w:rPr>
          <w:rFonts w:ascii="Tajawal" w:hAnsi="Tajawal" w:cs="Tajawal" w:eastAsia="Tajawal"/>
        </w:rPr>
        <w:t xml:space="preserve">legal incident workflow automation</w:t>
      </w:r>
    </w:p>
    <w:p>
      <w:pPr>
        <w:pStyle w:val="ListParagraph"/>
      </w:pPr>
      <w:r>
        <w:rPr>
          <w:rFonts w:ascii="Tajawal" w:hAnsi="Tajawal" w:cs="Tajawal" w:eastAsia="Tajawal"/>
          <w:color w:val="7A3512"/>
          <w:sz w:val="22"/>
          <w:szCs w:val="22"/>
        </w:rPr>
        <w:t>• </w:t>
      </w:r>
      <w:r>
        <w:rPr>
          <w:rFonts w:ascii="Tajawal" w:hAnsi="Tajawal" w:cs="Tajawal" w:eastAsia="Tajawal"/>
        </w:rPr>
        <w:t xml:space="preserve">hosted production privacy-operations evidence beyond the implemented MVP baseline</w:t>
      </w:r>
    </w:p>
    <w:p>
      <w:pPr>
        <w:pBdr>
          <w:bottom w:val="single" w:sz="12" w:space="1" w:color="A94F18"/>
        </w:pBdr>
        <w:spacing w:after="240"/>
      </w:pPr>
    </w:p>
    <w:p>
      <w:pPr>
        <w:pStyle w:val="Heading2"/>
      </w:pPr>
      <w:r>
        <w:rPr>
          <w:rFonts w:ascii="Tajawal" w:hAnsi="Tajawal" w:cs="Tajawal" w:eastAsia="Tajawal"/>
        </w:rPr>
        <w:t xml:space="preserve">3. Business Logic Summary</w:t>
      </w:r>
    </w:p>
    <w:p>
      <w:pPr>
        <w:pStyle w:val="Heading3"/>
      </w:pPr>
      <w:r>
        <w:rPr>
          <w:rFonts w:ascii="Tajawal" w:hAnsi="Tajawal" w:cs="Tajawal" w:eastAsia="Tajawal"/>
        </w:rPr>
        <w:t xml:space="preserve">3.1 Privacy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Public onboarding can retrieve privacy governance by subject type through </w:t>
      </w:r>
      <w:r>
        <w:rPr>
          <w:rFonts w:ascii="Tajawal" w:hAnsi="Tajawal" w:cs="Tajawal" w:eastAsia="Tajawal"/>
          <w:color w:val="7A3512"/>
          <w:sz w:val="20"/>
          <w:szCs w:val="20"/>
        </w:rPr>
        <w:t xml:space="preserve">SUPPLIER</w:t>
      </w:r>
      <w:r>
        <w:rPr>
          <w:rFonts w:ascii="Tajawal" w:hAnsi="Tajawal" w:cs="Tajawal" w:eastAsia="Tajawal"/>
        </w:rPr>
        <w:t xml:space="preserve"> or </w:t>
      </w:r>
      <w:r>
        <w:rPr>
          <w:rFonts w:ascii="Tajawal" w:hAnsi="Tajawal" w:cs="Tajawal" w:eastAsia="Tajawal"/>
          <w:color w:val="7A3512"/>
          <w:sz w:val="20"/>
          <w:szCs w:val="20"/>
        </w:rPr>
        <w:t xml:space="preserve">CUSTOMER</w:t>
      </w:r>
      <w:r>
        <w:rPr>
          <w:rFonts w:ascii="Tajawal" w:hAnsi="Tajawal" w:cs="Tajawal" w:eastAsia="Tajawal"/>
        </w:rPr>
        <w:t xml:space="preserve">.</w:t>
      </w:r>
    </w:p>
    <w:p>
      <w:pPr>
        <w:pStyle w:val="ListParagraph"/>
      </w:pPr>
      <w:r>
        <w:rPr>
          <w:rFonts w:ascii="Tajawal" w:hAnsi="Tajawal" w:cs="Tajawal" w:eastAsia="Tajawal"/>
          <w:color w:val="7A3512"/>
          <w:sz w:val="22"/>
          <w:szCs w:val="22"/>
        </w:rPr>
        <w:t>• </w:t>
      </w:r>
      <w:r>
        <w:rPr>
          <w:rFonts w:ascii="Tajawal" w:hAnsi="Tajawal" w:cs="Tajawal" w:eastAsia="Tajawal"/>
        </w:rPr>
        <w:t xml:space="preserve">The privacy response returns:</w:t>
      </w:r>
    </w:p>
    <w:p>
      <w:pPr>
        <w:pStyle w:val="BodyText"/>
      </w:pPr>
      <w:r>
        <w:rPr>
          <w:rFonts w:ascii="Tajawal" w:hAnsi="Tajawal" w:cs="Tajawal" w:eastAsia="Tajawal"/>
        </w:rPr>
        <w:t xml:space="preserve">- versioned notices, - consent purposes, - data-classification rules, - masking rules, - third-party-sharing rules, - privacy readiness controls.</w:t>
      </w:r>
    </w:p>
    <w:p>
      <w:pPr>
        <w:pStyle w:val="ListParagraph"/>
      </w:pPr>
      <w:r>
        <w:rPr>
          <w:rFonts w:ascii="Tajawal" w:hAnsi="Tajawal" w:cs="Tajawal" w:eastAsia="Tajawal"/>
          <w:color w:val="7A3512"/>
          <w:sz w:val="22"/>
          <w:szCs w:val="22"/>
        </w:rPr>
        <w:t>• </w:t>
      </w:r>
      <w:r>
        <w:rPr>
          <w:rFonts w:ascii="Tajawal" w:hAnsi="Tajawal" w:cs="Tajawal" w:eastAsia="Tajawal"/>
        </w:rPr>
        <w:t xml:space="preserve">The public onboarding UI loads the relevant notice before submission and captures notice metadata plus acceptance state in the onboarding payload.</w:t>
      </w:r>
    </w:p>
    <w:p>
      <w:pPr>
        <w:pStyle w:val="Heading3"/>
      </w:pPr>
      <w:r>
        <w:rPr>
          <w:rFonts w:ascii="Tajawal" w:hAnsi="Tajawal" w:cs="Tajawal" w:eastAsia="Tajawal"/>
        </w:rPr>
        <w:t xml:space="preserve">3.2 Egypt firm national ID</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FirmNationalId</w:t>
      </w:r>
      <w:r>
        <w:rPr>
          <w:rFonts w:ascii="Tajawal" w:hAnsi="Tajawal" w:cs="Tajawal" w:eastAsia="Tajawal"/>
        </w:rPr>
        <w:t xml:space="preserve"> is captured as a separate field from the system </w:t>
      </w:r>
      <w:r>
        <w:rPr>
          <w:rFonts w:ascii="Tajawal" w:hAnsi="Tajawal" w:cs="Tajawal" w:eastAsia="Tajawal"/>
          <w:color w:val="7A3512"/>
          <w:sz w:val="20"/>
          <w:szCs w:val="20"/>
        </w:rPr>
        <w:t xml:space="preserve">PartyCode</w:t>
      </w:r>
      <w:r>
        <w:rPr>
          <w:rFonts w:ascii="Tajawal" w:hAnsi="Tajawal" w:cs="Tajawal" w:eastAsia="Tajawal"/>
        </w:rPr>
        <w:t xml:space="preserve">.</w:t>
      </w:r>
    </w:p>
    <w:p>
      <w:pPr>
        <w:pStyle w:val="ListParagraph"/>
      </w:pPr>
      <w:r>
        <w:rPr>
          <w:rFonts w:ascii="Tajawal" w:hAnsi="Tajawal" w:cs="Tajawal" w:eastAsia="Tajawal"/>
          <w:color w:val="7A3512"/>
          <w:sz w:val="22"/>
          <w:szCs w:val="22"/>
        </w:rPr>
        <w:t>• </w:t>
      </w:r>
      <w:r>
        <w:rPr>
          <w:rFonts w:ascii="Tajawal" w:hAnsi="Tajawal" w:cs="Tajawal" w:eastAsia="Tajawal"/>
        </w:rPr>
        <w:t xml:space="preserve">The field is optional for MVP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If the field is blank, onboarding is still allowed.</w:t>
      </w:r>
    </w:p>
    <w:p>
      <w:pPr>
        <w:pStyle w:val="ListParagraph"/>
      </w:pPr>
      <w:r>
        <w:rPr>
          <w:rFonts w:ascii="Tajawal" w:hAnsi="Tajawal" w:cs="Tajawal" w:eastAsia="Tajawal"/>
          <w:color w:val="7A3512"/>
          <w:sz w:val="22"/>
          <w:szCs w:val="22"/>
        </w:rPr>
        <w:t>• </w:t>
      </w:r>
      <w:r>
        <w:rPr>
          <w:rFonts w:ascii="Tajawal" w:hAnsi="Tajawal" w:cs="Tajawal" w:eastAsia="Tajawal"/>
        </w:rPr>
        <w:t xml:space="preserve">If the field is provided, the backend normalizes and validates it against active parties.</w:t>
      </w:r>
    </w:p>
    <w:p>
      <w:pPr>
        <w:pStyle w:val="ListParagraph"/>
      </w:pPr>
      <w:r>
        <w:rPr>
          <w:rFonts w:ascii="Tajawal" w:hAnsi="Tajawal" w:cs="Tajawal" w:eastAsia="Tajawal"/>
          <w:color w:val="7A3512"/>
          <w:sz w:val="22"/>
          <w:szCs w:val="22"/>
        </w:rPr>
        <w:t>• </w:t>
      </w:r>
      <w:r>
        <w:rPr>
          <w:rFonts w:ascii="Tajawal" w:hAnsi="Tajawal" w:cs="Tajawal" w:eastAsia="Tajawal"/>
        </w:rPr>
        <w:t xml:space="preserve">Duplicate use of the same active firm national ID is rejected.</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can query all active supplier/customer parties missing the field and update the value later.</w:t>
      </w:r>
    </w:p>
    <w:p>
      <w:pPr>
        <w:pStyle w:val="Heading3"/>
      </w:pPr>
      <w:r>
        <w:rPr>
          <w:rFonts w:ascii="Tajawal" w:hAnsi="Tajawal" w:cs="Tajawal" w:eastAsia="Tajawal"/>
        </w:rPr>
        <w:t xml:space="preserve">3.3 Customer reference / party code mechanism</w:t>
      </w:r>
    </w:p>
    <w:p>
      <w:pPr>
        <w:pStyle w:val="ListParagraph"/>
      </w:pPr>
      <w:r>
        <w:rPr>
          <w:rFonts w:ascii="Tajawal" w:hAnsi="Tajawal" w:cs="Tajawal" w:eastAsia="Tajawal"/>
          <w:color w:val="7A3512"/>
          <w:sz w:val="22"/>
          <w:szCs w:val="22"/>
        </w:rPr>
        <w:t>• </w:t>
      </w:r>
      <w:r>
        <w:rPr>
          <w:rFonts w:ascii="Tajawal" w:hAnsi="Tajawal" w:cs="Tajawal" w:eastAsia="Tajawal"/>
        </w:rPr>
        <w:t xml:space="preserve">Every supplier/customer party is created with a generated </w:t>
      </w:r>
      <w:r>
        <w:rPr>
          <w:rFonts w:ascii="Tajawal" w:hAnsi="Tajawal" w:cs="Tajawal" w:eastAsia="Tajawal"/>
          <w:color w:val="7A3512"/>
          <w:sz w:val="20"/>
          <w:szCs w:val="20"/>
        </w:rPr>
        <w:t xml:space="preserve">PartyCode</w:t>
      </w:r>
      <w:r>
        <w:rPr>
          <w:rFonts w:ascii="Tajawal" w:hAnsi="Tajawal" w:cs="Tajawal" w:eastAsia="Tajawal"/>
        </w:rPr>
        <w:t xml:space="preserve">.</w:t>
      </w:r>
    </w:p>
    <w:p>
      <w:pPr>
        <w:pStyle w:val="ListParagraph"/>
      </w:pPr>
      <w:r>
        <w:rPr>
          <w:rFonts w:ascii="Tajawal" w:hAnsi="Tajawal" w:cs="Tajawal" w:eastAsia="Tajawal"/>
          <w:color w:val="7A3512"/>
          <w:sz w:val="22"/>
          <w:szCs w:val="22"/>
        </w:rPr>
        <w:t>• </w:t>
      </w:r>
      <w:r>
        <w:rPr>
          <w:rFonts w:ascii="Tajawal" w:hAnsi="Tajawal" w:cs="Tajawal" w:eastAsia="Tajawal"/>
        </w:rPr>
        <w:t xml:space="preserve">Public onboarding generates:</w:t>
      </w:r>
    </w:p>
    <w:p>
      <w:pPr>
        <w:pStyle w:val="BodyText"/>
      </w:pPr>
      <w:r>
        <w:rPr>
          <w:rFonts w:ascii="Tajawal" w:hAnsi="Tajawal" w:cs="Tajawal" w:eastAsia="Tajawal"/>
        </w:rPr>
        <w:t xml:space="preserve">- </w:t>
      </w:r>
      <w:r>
        <w:rPr>
          <w:rFonts w:ascii="Tajawal" w:hAnsi="Tajawal" w:cs="Tajawal" w:eastAsia="Tajawal"/>
          <w:color w:val="7A3512"/>
          <w:sz w:val="20"/>
          <w:szCs w:val="20"/>
        </w:rPr>
        <w:t xml:space="preserve">SUP-PUB-...</w:t>
      </w:r>
      <w:r>
        <w:rPr>
          <w:rFonts w:ascii="Tajawal" w:hAnsi="Tajawal" w:cs="Tajawal" w:eastAsia="Tajawal"/>
        </w:rPr>
        <w:t xml:space="preserve"> for suppliers - </w:t>
      </w:r>
      <w:r>
        <w:rPr>
          <w:rFonts w:ascii="Tajawal" w:hAnsi="Tajawal" w:cs="Tajawal" w:eastAsia="Tajawal"/>
          <w:color w:val="7A3512"/>
          <w:sz w:val="20"/>
          <w:szCs w:val="20"/>
        </w:rPr>
        <w:t xml:space="preserve">CUS-PUB-...</w:t>
      </w:r>
      <w:r>
        <w:rPr>
          <w:rFonts w:ascii="Tajawal" w:hAnsi="Tajawal" w:cs="Tajawal" w:eastAsia="Tajawal"/>
        </w:rPr>
        <w:t xml:space="preserve"> for customers</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onboarding generates source-aware references such as:</w:t>
      </w:r>
    </w:p>
    <w:p>
      <w:pPr>
        <w:pStyle w:val="BodyText"/>
      </w:pPr>
      <w:r>
        <w:rPr>
          <w:rFonts w:ascii="Tajawal" w:hAnsi="Tajawal" w:cs="Tajawal" w:eastAsia="Tajawal"/>
        </w:rPr>
        <w:t xml:space="preserve">- </w:t>
      </w:r>
      <w:r>
        <w:rPr>
          <w:rFonts w:ascii="Tajawal" w:hAnsi="Tajawal" w:cs="Tajawal" w:eastAsia="Tajawal"/>
          <w:color w:val="7A3512"/>
          <w:sz w:val="20"/>
          <w:szCs w:val="20"/>
        </w:rPr>
        <w:t xml:space="preserve">SUP-OPS-...</w:t>
      </w:r>
      <w:r>
        <w:rPr>
          <w:rFonts w:ascii="Tajawal" w:hAnsi="Tajawal" w:cs="Tajawal" w:eastAsia="Tajawal"/>
        </w:rPr>
        <w:t xml:space="preserve"> - </w:t>
      </w:r>
      <w:r>
        <w:rPr>
          <w:rFonts w:ascii="Tajawal" w:hAnsi="Tajawal" w:cs="Tajawal" w:eastAsia="Tajawal"/>
          <w:color w:val="7A3512"/>
          <w:sz w:val="20"/>
          <w:szCs w:val="20"/>
        </w:rPr>
        <w:t xml:space="preserve">CUS-OPS-...</w:t>
      </w:r>
      <w:r>
        <w:rPr>
          <w:rFonts w:ascii="Tajawal" w:hAnsi="Tajawal" w:cs="Tajawal" w:eastAsia="Tajawal"/>
        </w:rPr>
        <w:t xml:space="preserve"> - </w:t>
      </w:r>
      <w:r>
        <w:rPr>
          <w:rFonts w:ascii="Tajawal" w:hAnsi="Tajawal" w:cs="Tajawal" w:eastAsia="Tajawal"/>
          <w:color w:val="7A3512"/>
          <w:sz w:val="20"/>
          <w:szCs w:val="20"/>
        </w:rPr>
        <w:t xml:space="preserve">SUP-AO-...</w:t>
      </w:r>
      <w:r>
        <w:rPr>
          <w:rFonts w:ascii="Tajawal" w:hAnsi="Tajawal" w:cs="Tajawal" w:eastAsia="Tajawal"/>
        </w:rPr>
        <w:t xml:space="preserve"> - </w:t>
      </w:r>
      <w:r>
        <w:rPr>
          <w:rFonts w:ascii="Tajawal" w:hAnsi="Tajawal" w:cs="Tajawal" w:eastAsia="Tajawal"/>
          <w:color w:val="7A3512"/>
          <w:sz w:val="20"/>
          <w:szCs w:val="20"/>
        </w:rPr>
        <w:t xml:space="preserve">CUS-AO-...</w:t>
      </w:r>
    </w:p>
    <w:p>
      <w:pPr>
        <w:pStyle w:val="ListParagraph"/>
      </w:pPr>
      <w:r>
        <w:rPr>
          <w:rFonts w:ascii="Tajawal" w:hAnsi="Tajawal" w:cs="Tajawal" w:eastAsia="Tajawal"/>
          <w:color w:val="7A3512"/>
          <w:sz w:val="22"/>
          <w:szCs w:val="22"/>
        </w:rPr>
        <w:t>• </w:t>
      </w:r>
      <w:r>
        <w:rPr>
          <w:rFonts w:ascii="Tajawal" w:hAnsi="Tajawal" w:cs="Tajawal" w:eastAsia="Tajawal"/>
        </w:rPr>
        <w:t xml:space="preserve">The party code is used as the stable operational reference across:</w:t>
      </w:r>
    </w:p>
    <w:p>
      <w:pPr>
        <w:pStyle w:val="BodyText"/>
      </w:pPr>
      <w:r>
        <w:rPr>
          <w:rFonts w:ascii="Tajawal" w:hAnsi="Tajawal" w:cs="Tajawal" w:eastAsia="Tajawal"/>
        </w:rPr>
        <w:t xml:space="preserve">- onboarding responses, - onboarding cases, - reporting, - accounting-office assignment visibility, - ETA/statutory exports where counterparty codes are surfaced.</w:t>
      </w:r>
    </w:p>
    <w:p>
      <w:pPr>
        <w:pBdr>
          <w:bottom w:val="single" w:sz="12" w:space="1" w:color="A94F18"/>
        </w:pBdr>
        <w:spacing w:after="240"/>
      </w:pPr>
    </w:p>
    <w:p>
      <w:pPr>
        <w:pStyle w:val="Heading2"/>
      </w:pPr>
      <w:r>
        <w:rPr>
          <w:rFonts w:ascii="Tajawal" w:hAnsi="Tajawal" w:cs="Tajawal" w:eastAsia="Tajawal"/>
        </w:rPr>
        <w:t xml:space="preserve">4. Technical Design</w:t>
      </w:r>
    </w:p>
    <w:p>
      <w:pPr>
        <w:pStyle w:val="Heading3"/>
      </w:pPr>
      <w:r>
        <w:rPr>
          <w:rFonts w:ascii="Tajawal" w:hAnsi="Tajawal" w:cs="Tajawal" w:eastAsia="Tajawal"/>
        </w:rPr>
        <w:t xml:space="preserve">4.1 Database structure</w:t>
      </w:r>
    </w:p>
    <w:p>
      <w:pPr>
        <w:pStyle w:val="Callout"/>
      </w:pPr>
      <w:r>
        <w:rPr>
          <w:rFonts w:ascii="Tajawal" w:hAnsi="Tajawal" w:cs="Tajawal" w:eastAsia="Tajawal"/>
        </w:rPr>
        <w:t xml:space="preserve">Primary table: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bp_party</w:t>
      </w:r>
    </w:p>
    <w:p>
      <w:pPr>
        <w:pStyle w:val="Callout"/>
      </w:pPr>
      <w:r>
        <w:rPr>
          <w:rFonts w:ascii="Tajawal" w:hAnsi="Tajawal" w:cs="Tajawal" w:eastAsia="Tajawal"/>
        </w:rPr>
        <w:t xml:space="preserve">Relevant implemented fields: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id</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party_code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party_name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party_type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country_code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firm_national_id</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tax_registration_number</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tax_branch_code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email</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mobile_number</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address_line1</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is_active</w:t>
      </w:r>
    </w:p>
    <w:p>
      <w:pPr>
        <w:pStyle w:val="Callout"/>
      </w:pPr>
      <w:r>
        <w:rPr>
          <w:rFonts w:ascii="Tajawal" w:hAnsi="Tajawal" w:cs="Tajawal" w:eastAsia="Tajawal"/>
        </w:rPr>
        <w:t xml:space="preserve">Implemented uniqueness rule:</w:t>
      </w:r>
    </w:p>
    <w:p>
      <w:pPr>
        <w:pStyle w:val="ListParagraph"/>
      </w:pPr>
      <w:r>
        <w:rPr>
          <w:rFonts w:ascii="Tajawal" w:hAnsi="Tajawal" w:cs="Tajawal" w:eastAsia="Tajawal"/>
          <w:color w:val="7A3512"/>
          <w:sz w:val="22"/>
          <w:szCs w:val="22"/>
        </w:rPr>
        <w:t>• </w:t>
      </w:r>
      <w:r>
        <w:rPr>
          <w:rFonts w:ascii="Tajawal" w:hAnsi="Tajawal" w:cs="Tajawal" w:eastAsia="Tajawal"/>
        </w:rPr>
        <w:t xml:space="preserve">unique index on </w:t>
      </w:r>
      <w:r>
        <w:rPr>
          <w:rFonts w:ascii="Tajawal" w:hAnsi="Tajawal" w:cs="Tajawal" w:eastAsia="Tajawal"/>
          <w:color w:val="7A3512"/>
          <w:sz w:val="20"/>
          <w:szCs w:val="20"/>
        </w:rPr>
        <w:t xml:space="preserve">bp_party.firm_national_id</w:t>
      </w:r>
    </w:p>
    <w:p>
      <w:pPr>
        <w:pStyle w:val="ListParagraph"/>
      </w:pPr>
      <w:r>
        <w:rPr>
          <w:rFonts w:ascii="Tajawal" w:hAnsi="Tajawal" w:cs="Tajawal" w:eastAsia="Tajawal"/>
          <w:color w:val="7A3512"/>
          <w:sz w:val="22"/>
          <w:szCs w:val="22"/>
        </w:rPr>
        <w:t>• </w:t>
      </w:r>
      <w:r>
        <w:rPr>
          <w:rFonts w:ascii="Tajawal" w:hAnsi="Tajawal" w:cs="Tajawal" w:eastAsia="Tajawal"/>
        </w:rPr>
        <w:t xml:space="preserve">null/empty values are allowed</w:t>
      </w:r>
    </w:p>
    <w:p>
      <w:pPr>
        <w:pStyle w:val="ListParagraph"/>
      </w:pPr>
      <w:r>
        <w:rPr>
          <w:rFonts w:ascii="Tajawal" w:hAnsi="Tajawal" w:cs="Tajawal" w:eastAsia="Tajawal"/>
          <w:color w:val="7A3512"/>
          <w:sz w:val="22"/>
          <w:szCs w:val="22"/>
        </w:rPr>
        <w:t>• </w:t>
      </w:r>
      <w:r>
        <w:rPr>
          <w:rFonts w:ascii="Tajawal" w:hAnsi="Tajawal" w:cs="Tajawal" w:eastAsia="Tajawal"/>
        </w:rPr>
        <w:t xml:space="preserve">non-empty values must be globally unique across active entities</w:t>
      </w:r>
    </w:p>
    <w:p>
      <w:pPr>
        <w:pStyle w:val="Callout"/>
      </w:pPr>
      <w:r>
        <w:rPr>
          <w:rFonts w:ascii="Tajawal" w:hAnsi="Tajawal" w:cs="Tajawal" w:eastAsia="Tajawal"/>
        </w:rPr>
        <w:t xml:space="preserve">Bootstrap schema support:</w:t>
      </w:r>
    </w:p>
    <w:p>
      <w:pPr>
        <w:pStyle w:val="ListParagraph"/>
      </w:pPr>
      <w:r>
        <w:rPr>
          <w:rFonts w:ascii="Tajawal" w:hAnsi="Tajawal" w:cs="Tajawal" w:eastAsia="Tajawal"/>
          <w:color w:val="7A3512"/>
          <w:sz w:val="22"/>
          <w:szCs w:val="22"/>
        </w:rPr>
        <w:t>• </w:t>
      </w:r>
      <w:r>
        <w:rPr>
          <w:rFonts w:ascii="Tajawal" w:hAnsi="Tajawal" w:cs="Tajawal" w:eastAsia="Tajawal"/>
        </w:rPr>
        <w:t xml:space="preserve">demo/bootstrap logic adds </w:t>
      </w:r>
      <w:r>
        <w:rPr>
          <w:rFonts w:ascii="Tajawal" w:hAnsi="Tajawal" w:cs="Tajawal" w:eastAsia="Tajawal"/>
          <w:color w:val="7A3512"/>
          <w:sz w:val="20"/>
          <w:szCs w:val="20"/>
        </w:rPr>
        <w:t xml:space="preserve">firm_national_id</w:t>
      </w:r>
      <w:r>
        <w:rPr>
          <w:rFonts w:ascii="Tajawal" w:hAnsi="Tajawal" w:cs="Tajawal" w:eastAsia="Tajawal"/>
        </w:rPr>
        <w:t xml:space="preserve"> when missing and creates a unique index for SQLite/demo environments so the MVP baseline is runnable without manual schema drift.</w:t>
      </w:r>
    </w:p>
    <w:p>
      <w:pPr>
        <w:pStyle w:val="Heading3"/>
      </w:pPr>
      <w:r>
        <w:rPr>
          <w:rFonts w:ascii="Tajawal" w:hAnsi="Tajawal" w:cs="Tajawal" w:eastAsia="Tajawal"/>
        </w:rPr>
        <w:t xml:space="preserve">4.2 Backend components</w:t>
      </w:r>
    </w:p>
    <w:p>
      <w:pPr>
        <w:pStyle w:val="Callout"/>
      </w:pPr>
      <w:r>
        <w:rPr>
          <w:rFonts w:ascii="Tajawal" w:hAnsi="Tajawal" w:cs="Tajawal" w:eastAsia="Tajawal"/>
        </w:rPr>
        <w:t xml:space="preserve">Privacy:</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src/backend/CashLineERP.Application/Privacy/IPrivacyGovernanceService.cs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src/backend/CashLineERP.Application/Privacy/PrivacyGovernanceService.cs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src/backend/CashLineERP.Contracts/Privacy/PrivacyGovernanceResponse.cs</w:t>
      </w:r>
    </w:p>
    <w:p>
      <w:pPr>
        <w:pStyle w:val="Callout"/>
      </w:pPr>
      <w:r>
        <w:rPr>
          <w:rFonts w:ascii="Tajawal" w:hAnsi="Tajawal" w:cs="Tajawal" w:eastAsia="Tajawal"/>
        </w:rPr>
        <w:t xml:space="preserve">Party / national ID / reference:</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src/backend/CashLineERP.Domain/Parties/BusinessParty.cs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src/backend/CashLineERP.Application/Parties/PartyOnboardingService.cs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src/backend/CashLineERP.Application/Parties/IBusinessPartyRepository.cs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src/backend/CashLineERP.Infrastructure/Persistence/Repositories/BusinessPartyRepository.cs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src/backend/CashLineERP.Infrastructure/Persistence/CashLineErpDbContext.cs</w:t>
      </w:r>
    </w:p>
    <w:p>
      <w:pPr>
        <w:pStyle w:val="Callout"/>
      </w:pPr>
      <w:r>
        <w:rPr>
          <w:rFonts w:ascii="Tajawal" w:hAnsi="Tajawal" w:cs="Tajawal" w:eastAsia="Tajawal"/>
        </w:rPr>
        <w:t xml:space="preserve">Onboarding services that generate and consume party references: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src/backend/CashLineERP.Application/External/PublicOnboardingService.cs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src/backend/CashLineERP.Application/External/InternalOnboardingIntakeService.cs</w:t>
      </w:r>
    </w:p>
    <w:p>
      <w:pPr>
        <w:pStyle w:val="Callout"/>
      </w:pPr>
      <w:r>
        <w:rPr>
          <w:rFonts w:ascii="Tajawal" w:hAnsi="Tajawal" w:cs="Tajawal" w:eastAsia="Tajawal"/>
        </w:rPr>
        <w:t xml:space="preserve">API wiring:</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src/backend/CashLineERP.Api/Program.cs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src/backend/CashLineERP.Api/Infrastructure/DemoUatBootstrapper.cs</w:t>
      </w:r>
    </w:p>
    <w:p>
      <w:pPr>
        <w:pStyle w:val="Heading3"/>
      </w:pPr>
      <w:r>
        <w:rPr>
          <w:rFonts w:ascii="Tajawal" w:hAnsi="Tajawal" w:cs="Tajawal" w:eastAsia="Tajawal"/>
        </w:rPr>
        <w:t xml:space="preserve">4.3 Frontend components</w:t>
      </w:r>
    </w:p>
    <w:p>
      <w:pPr>
        <w:pStyle w:val="Callout"/>
      </w:pPr>
      <w:r>
        <w:rPr>
          <w:rFonts w:ascii="Tajawal" w:hAnsi="Tajawal" w:cs="Tajawal" w:eastAsia="Tajawal"/>
        </w:rPr>
        <w:t xml:space="preserve">Public onboarding:</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src/frontend/cashline-kendo/src/app/public-onboarding/public-onboarding-page.component.ts</w:t>
      </w:r>
    </w:p>
    <w:p>
      <w:pPr>
        <w:pStyle w:val="Callout"/>
      </w:pPr>
      <w:r>
        <w:rPr>
          <w:rFonts w:ascii="Tajawal" w:hAnsi="Tajawal" w:cs="Tajawal" w:eastAsia="Tajawal"/>
        </w:rPr>
        <w:t xml:space="preserve">Internal operations follow-up:</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src/frontend/cashline-kendo/src/app/journeys/journey-definitions.ts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src/frontend/cashline-kendo/src/app/journeys/journey-page.component.ts</w:t>
      </w:r>
    </w:p>
    <w:p>
      <w:pPr>
        <w:pStyle w:val="Callout"/>
      </w:pPr>
      <w:r>
        <w:rPr>
          <w:rFonts w:ascii="Tajawal" w:hAnsi="Tajawal" w:cs="Tajawal" w:eastAsia="Tajawal"/>
        </w:rPr>
        <w:t xml:space="preserve">Transport/session helper:</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src/frontend/cashline-kendo/src/app/core/cashline-api.service.ts</w:t>
      </w:r>
    </w:p>
    <w:p>
      <w:pPr>
        <w:pStyle w:val="Heading3"/>
      </w:pPr>
      <w:r>
        <w:rPr>
          <w:rFonts w:ascii="Tajawal" w:hAnsi="Tajawal" w:cs="Tajawal" w:eastAsia="Tajawal"/>
        </w:rPr>
        <w:t xml:space="preserve">4.4 API structure</w:t>
      </w:r>
    </w:p>
    <w:p>
      <w:pPr>
        <w:pStyle w:val="Callout"/>
      </w:pPr>
      <w:r>
        <w:rPr>
          <w:rFonts w:ascii="Tajawal" w:hAnsi="Tajawal" w:cs="Tajawal" w:eastAsia="Tajawal"/>
        </w:rPr>
        <w:t xml:space="preserve">Privacy APIs: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GET /api/v1/public/privacy/governance?subjectTypeCode=SUPPLIER|CUSTOMER</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GET /api/v1/iam/privacy/governance?subjectTypeCode=SUPPLIER|CUSTOMER</w:t>
      </w:r>
    </w:p>
    <w:p>
      <w:pPr>
        <w:pStyle w:val="Callout"/>
      </w:pPr>
      <w:r>
        <w:rPr>
          <w:rFonts w:ascii="Tajawal" w:hAnsi="Tajawal" w:cs="Tajawal" w:eastAsia="Tajawal"/>
        </w:rPr>
        <w:t xml:space="preserve">Party / national-ID APIs:</w:t>
      </w:r>
    </w:p>
    <w:p>
      <w:pPr>
        <w:pStyle w:val="ListParagraph"/>
      </w:pPr>
      <w:r>
        <w:rPr>
          <w:rFonts w:ascii="Tajawal" w:hAnsi="Tajawal" w:cs="Tajawal" w:eastAsia="Tajawal"/>
          <w:color w:val="7A3512"/>
          <w:sz w:val="22"/>
          <w:szCs w:val="22"/>
        </w:rPr>
        <w:t>• </w:t>
      </w:r>
      <w:r>
        <w:rPr>
          <w:rFonts w:ascii="Tajawal" w:hAnsi="Tajawal" w:cs="Tajawal" w:eastAsia="Tajawal"/>
        </w:rPr>
        <w:t xml:space="preserve">party creation flows are invoked through onboarding services rather than a direct public national-ID endpoint</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GET /api/v1/internal/parties/missing-firm-national-id</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PUT /api/v1/internal/parties/{partyId}/firm-national-id</w:t>
      </w:r>
    </w:p>
    <w:p>
      <w:pPr>
        <w:pStyle w:val="Callout"/>
      </w:pPr>
      <w:r>
        <w:rPr>
          <w:rFonts w:ascii="Tajawal" w:hAnsi="Tajawal" w:cs="Tajawal" w:eastAsia="Tajawal"/>
        </w:rPr>
        <w:t xml:space="preserve">Onboarding request models carrying the field:</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CreatePublicSupplierOnboardingApplicationRequest</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CreatePublicCustomerOnboardingApplicationRequest</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CreateBusinessPartyRequest</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profile creation requests</w:t>
      </w:r>
    </w:p>
    <w:p>
      <w:pPr>
        <w:pStyle w:val="Heading3"/>
      </w:pPr>
      <w:r>
        <w:rPr>
          <w:rFonts w:ascii="Tajawal" w:hAnsi="Tajawal" w:cs="Tajawal" w:eastAsia="Tajawal"/>
        </w:rPr>
        <w:t xml:space="preserve">4.5 Validation and enforcement</w:t>
      </w:r>
    </w:p>
    <w:p>
      <w:pPr>
        <w:pStyle w:val="Callout"/>
      </w:pPr>
      <w:r>
        <w:rPr>
          <w:rFonts w:ascii="Tajawal" w:hAnsi="Tajawal" w:cs="Tajawal" w:eastAsia="Tajawal"/>
        </w:rPr>
        <w:t xml:space="preserve">Implemented backend rules:</w:t>
      </w:r>
    </w:p>
    <w:p>
      <w:pPr>
        <w:pStyle w:val="ListParagraph"/>
      </w:pPr>
      <w:r>
        <w:rPr>
          <w:rFonts w:ascii="Tajawal" w:hAnsi="Tajawal" w:cs="Tajawal" w:eastAsia="Tajawal"/>
          <w:color w:val="7A3512"/>
          <w:sz w:val="22"/>
          <w:szCs w:val="22"/>
        </w:rPr>
        <w:t>• </w:t>
      </w:r>
      <w:r>
        <w:rPr>
          <w:rFonts w:ascii="Tajawal" w:hAnsi="Tajawal" w:cs="Tajawal" w:eastAsia="Tajawal"/>
        </w:rPr>
        <w:t xml:space="preserve">at least one communication destination is required for public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firm national ID is normalized before duplicate checks</w:t>
      </w:r>
    </w:p>
    <w:p>
      <w:pPr>
        <w:pStyle w:val="ListParagraph"/>
      </w:pPr>
      <w:r>
        <w:rPr>
          <w:rFonts w:ascii="Tajawal" w:hAnsi="Tajawal" w:cs="Tajawal" w:eastAsia="Tajawal"/>
          <w:color w:val="7A3512"/>
          <w:sz w:val="22"/>
          <w:szCs w:val="22"/>
        </w:rPr>
        <w:t>• </w:t>
      </w:r>
      <w:r>
        <w:rPr>
          <w:rFonts w:ascii="Tajawal" w:hAnsi="Tajawal" w:cs="Tajawal" w:eastAsia="Tajawal"/>
        </w:rPr>
        <w:t xml:space="preserve">duplicates are rejected at repository/service level</w:t>
      </w:r>
    </w:p>
    <w:p>
      <w:pPr>
        <w:pStyle w:val="ListParagraph"/>
      </w:pPr>
      <w:r>
        <w:rPr>
          <w:rFonts w:ascii="Tajawal" w:hAnsi="Tajawal" w:cs="Tajawal" w:eastAsia="Tajawal"/>
          <w:color w:val="7A3512"/>
          <w:sz w:val="22"/>
          <w:szCs w:val="22"/>
        </w:rPr>
        <w:t>• </w:t>
      </w:r>
      <w:r>
        <w:rPr>
          <w:rFonts w:ascii="Tajawal" w:hAnsi="Tajawal" w:cs="Tajawal" w:eastAsia="Tajawal"/>
        </w:rPr>
        <w:t xml:space="preserve">the field may remain null for MVP</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can later complete the missing value</w:t>
      </w:r>
    </w:p>
    <w:p>
      <w:pPr>
        <w:pStyle w:val="ListParagraph"/>
      </w:pPr>
      <w:r>
        <w:rPr>
          <w:rFonts w:ascii="Tajawal" w:hAnsi="Tajawal" w:cs="Tajawal" w:eastAsia="Tajawal"/>
          <w:color w:val="7A3512"/>
          <w:sz w:val="22"/>
          <w:szCs w:val="22"/>
        </w:rPr>
        <w:t>• </w:t>
      </w:r>
      <w:r>
        <w:rPr>
          <w:rFonts w:ascii="Tajawal" w:hAnsi="Tajawal" w:cs="Tajawal" w:eastAsia="Tajawal"/>
        </w:rPr>
        <w:t xml:space="preserve">party code is generated server-side in onboarding services</w:t>
      </w:r>
    </w:p>
    <w:p>
      <w:pPr>
        <w:pStyle w:val="Callout"/>
      </w:pPr>
      <w:r>
        <w:rPr>
          <w:rFonts w:ascii="Tajawal" w:hAnsi="Tajawal" w:cs="Tajawal" w:eastAsia="Tajawal"/>
        </w:rPr>
        <w:t xml:space="preserve">Implemented frontend behavior:</w:t>
      </w:r>
    </w:p>
    <w:p>
      <w:pPr>
        <w:pStyle w:val="ListParagraph"/>
      </w:pPr>
      <w:r>
        <w:rPr>
          <w:rFonts w:ascii="Tajawal" w:hAnsi="Tajawal" w:cs="Tajawal" w:eastAsia="Tajawal"/>
          <w:color w:val="7A3512"/>
          <w:sz w:val="22"/>
          <w:szCs w:val="22"/>
        </w:rPr>
        <w:t>• </w:t>
      </w:r>
      <w:r>
        <w:rPr>
          <w:rFonts w:ascii="Tajawal" w:hAnsi="Tajawal" w:cs="Tajawal" w:eastAsia="Tajawal"/>
        </w:rPr>
        <w:t xml:space="preserve">public onboarding shows </w:t>
      </w:r>
      <w:r>
        <w:rPr>
          <w:rFonts w:ascii="Tajawal" w:hAnsi="Tajawal" w:cs="Tajawal" w:eastAsia="Tajawal"/>
          <w:color w:val="7A3512"/>
          <w:sz w:val="20"/>
          <w:szCs w:val="20"/>
        </w:rPr>
        <w:t xml:space="preserve">Firm national ID (Egypt)</w:t>
      </w:r>
      <w:r>
        <w:rPr>
          <w:rFonts w:ascii="Tajawal" w:hAnsi="Tajawal" w:cs="Tajawal" w:eastAsia="Tajawal"/>
        </w:rPr>
        <w:t xml:space="preserve"> as optional</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journey exposes a follow-up mechanism for missing national IDs</w:t>
      </w:r>
    </w:p>
    <w:p>
      <w:pPr>
        <w:pStyle w:val="ListParagraph"/>
      </w:pPr>
      <w:r>
        <w:rPr>
          <w:rFonts w:ascii="Tajawal" w:hAnsi="Tajawal" w:cs="Tajawal" w:eastAsia="Tajawal"/>
          <w:color w:val="7A3512"/>
          <w:sz w:val="22"/>
          <w:szCs w:val="22"/>
        </w:rPr>
        <w:t>• </w:t>
      </w:r>
      <w:r>
        <w:rPr>
          <w:rFonts w:ascii="Tajawal" w:hAnsi="Tajawal" w:cs="Tajawal" w:eastAsia="Tajawal"/>
        </w:rPr>
        <w:t xml:space="preserve">the selected client list uses party code and party type for visibility</w:t>
      </w:r>
    </w:p>
    <w:p>
      <w:pPr>
        <w:pBdr>
          <w:bottom w:val="single" w:sz="12" w:space="1" w:color="A94F18"/>
        </w:pBdr>
        <w:spacing w:after="240"/>
      </w:pPr>
    </w:p>
    <w:p>
      <w:pPr>
        <w:pStyle w:val="Heading2"/>
      </w:pPr>
      <w:r>
        <w:rPr>
          <w:rFonts w:ascii="Tajawal" w:hAnsi="Tajawal" w:cs="Tajawal" w:eastAsia="Tajawal"/>
        </w:rPr>
        <w:t xml:space="preserve">5. Workflow Impact</w:t>
      </w:r>
    </w:p>
    <w:p>
      <w:pPr>
        <w:pStyle w:val="Callout"/>
      </w:pPr>
      <w:r>
        <w:rPr>
          <w:rFonts w:ascii="Tajawal" w:hAnsi="Tajawal" w:cs="Tajawal" w:eastAsia="Tajawal"/>
        </w:rPr>
        <w:t xml:space="preserve">The implemented workflow effect is:</w:t>
      </w:r>
    </w:p>
    <w:p>
      <w:pPr>
        <w:pStyle w:val="BodyText"/>
      </w:pPr>
      <w:r>
        <w:rPr>
          <w:rFonts w:ascii="Tajawal" w:hAnsi="Tajawal" w:cs="Tajawal" w:eastAsia="Tajawal"/>
        </w:rPr>
        <w:t xml:space="preserve">1. supplier/customer starts onboarding 2. privacy notice is loaded for the relevant subject type 3. onboarding request is submitted 4. server generates </w:t>
      </w:r>
      <w:r>
        <w:rPr>
          <w:rFonts w:ascii="Tajawal" w:hAnsi="Tajawal" w:cs="Tajawal" w:eastAsia="Tajawal"/>
          <w:color w:val="7A3512"/>
          <w:sz w:val="20"/>
          <w:szCs w:val="20"/>
        </w:rPr>
        <w:t xml:space="preserve">PartyCode</w:t>
      </w:r>
      <w:r>
        <w:rPr>
          <w:rFonts w:ascii="Tajawal" w:hAnsi="Tajawal" w:cs="Tajawal" w:eastAsia="Tajawal"/>
        </w:rPr>
        <w:t xml:space="preserve"> 5. optional </w:t>
      </w:r>
      <w:r>
        <w:rPr>
          <w:rFonts w:ascii="Tajawal" w:hAnsi="Tajawal" w:cs="Tajawal" w:eastAsia="Tajawal"/>
          <w:color w:val="7A3512"/>
          <w:sz w:val="20"/>
          <w:szCs w:val="20"/>
        </w:rPr>
        <w:t xml:space="preserve">FirmNationalId</w:t>
      </w:r>
      <w:r>
        <w:rPr>
          <w:rFonts w:ascii="Tajawal" w:hAnsi="Tajawal" w:cs="Tajawal" w:eastAsia="Tajawal"/>
        </w:rPr>
        <w:t xml:space="preserve"> is stored if provided 6. duplicate active firm national ID is rejected if already present 7. onboarding profile and case continue normally 8. operations can later review clients missing national ID and update them 9. reporting and queue visibility continue to use </w:t>
      </w:r>
      <w:r>
        <w:rPr>
          <w:rFonts w:ascii="Tajawal" w:hAnsi="Tajawal" w:cs="Tajawal" w:eastAsia="Tajawal"/>
          <w:color w:val="7A3512"/>
          <w:sz w:val="20"/>
          <w:szCs w:val="20"/>
        </w:rPr>
        <w:t xml:space="preserve">PartyCode</w:t>
      </w:r>
      <w:r>
        <w:rPr>
          <w:rFonts w:ascii="Tajawal" w:hAnsi="Tajawal" w:cs="Tajawal" w:eastAsia="Tajawal"/>
        </w:rPr>
        <w:t xml:space="preserve"> as the stable operational reference</w:t>
      </w:r>
    </w:p>
    <w:p>
      <w:pPr>
        <w:pBdr>
          <w:bottom w:val="single" w:sz="12" w:space="1" w:color="A94F18"/>
        </w:pBdr>
        <w:spacing w:after="240"/>
      </w:pPr>
    </w:p>
    <w:p>
      <w:pPr>
        <w:pStyle w:val="Heading2"/>
      </w:pPr>
      <w:r>
        <w:rPr>
          <w:rFonts w:ascii="Tajawal" w:hAnsi="Tajawal" w:cs="Tajawal" w:eastAsia="Tajawal"/>
        </w:rPr>
        <w:t xml:space="preserve">6. Readiness / Status View</w:t>
      </w:r>
    </w:p>
    <w:p>
      <w:pPr>
        <w:pStyle w:val="Callout"/>
      </w:pPr>
      <w:r>
        <w:rPr>
          <w:rFonts w:ascii="Tajawal" w:hAnsi="Tajawal" w:cs="Tajawal" w:eastAsia="Tajawal"/>
        </w:rPr>
        <w:t xml:space="preserve">Current implementation status:</w:t>
      </w:r>
    </w:p>
    <w:p>
      <w:pPr>
        <w:pStyle w:val="ListParagraph"/>
      </w:pPr>
      <w:r>
        <w:rPr>
          <w:rFonts w:ascii="Tajawal" w:hAnsi="Tajawal" w:cs="Tajawal" w:eastAsia="Tajawal"/>
          <w:color w:val="7A3512"/>
          <w:sz w:val="22"/>
          <w:szCs w:val="22"/>
        </w:rPr>
        <w:t>• </w:t>
      </w:r>
      <w:r>
        <w:rPr>
          <w:rFonts w:ascii="Tajawal" w:hAnsi="Tajawal" w:cs="Tajawal" w:eastAsia="Tajawal"/>
        </w:rPr>
        <w:t xml:space="preserve">privacy governance baseline: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public onboarding privacy notice loading: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privacy governance retrieval: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optional firm national ID capture: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uniqueness control for supplied firm national ID: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follow-up list for missing firm national ID: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system-generated party reference code: implemented</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linkage between party ID, party code, and profile creation: implemented</w:t>
      </w:r>
    </w:p>
    <w:p>
      <w:pPr>
        <w:pStyle w:val="Callout"/>
      </w:pPr>
      <w:r>
        <w:rPr>
          <w:rFonts w:ascii="Tajawal" w:hAnsi="Tajawal" w:cs="Tajawal" w:eastAsia="Tajawal"/>
        </w:rPr>
        <w:t xml:space="preserve">Residual gaps:</w:t>
      </w:r>
    </w:p>
    <w:p>
      <w:pPr>
        <w:pStyle w:val="ListParagraph"/>
      </w:pPr>
      <w:r>
        <w:rPr>
          <w:rFonts w:ascii="Tajawal" w:hAnsi="Tajawal" w:cs="Tajawal" w:eastAsia="Tajawal"/>
          <w:color w:val="7A3512"/>
          <w:sz w:val="22"/>
          <w:szCs w:val="22"/>
        </w:rPr>
        <w:t>• </w:t>
      </w:r>
      <w:r>
        <w:rPr>
          <w:rFonts w:ascii="Tajawal" w:hAnsi="Tajawal" w:cs="Tajawal" w:eastAsia="Tajawal"/>
        </w:rPr>
        <w:t xml:space="preserve">consent persistence is present in onboarding payloads, but full consent ledger/reporting ownership should still be hardened for production governance depth</w:t>
      </w:r>
    </w:p>
    <w:p>
      <w:pPr>
        <w:pStyle w:val="ListParagraph"/>
      </w:pPr>
      <w:r>
        <w:rPr>
          <w:rFonts w:ascii="Tajawal" w:hAnsi="Tajawal" w:cs="Tajawal" w:eastAsia="Tajawal"/>
          <w:color w:val="7A3512"/>
          <w:sz w:val="22"/>
          <w:szCs w:val="22"/>
        </w:rPr>
        <w:t>• </w:t>
      </w:r>
      <w:r>
        <w:rPr>
          <w:rFonts w:ascii="Tajawal" w:hAnsi="Tajawal" w:cs="Tajawal" w:eastAsia="Tajawal"/>
        </w:rPr>
        <w:t xml:space="preserve">masking rules are defined as governance controls but are not yet proven as an end-to-end fully enforced masking layer across every API/export/UI</w:t>
      </w:r>
    </w:p>
    <w:p>
      <w:pPr>
        <w:pStyle w:val="ListParagraph"/>
      </w:pPr>
      <w:r>
        <w:rPr>
          <w:rFonts w:ascii="Tajawal" w:hAnsi="Tajawal" w:cs="Tajawal" w:eastAsia="Tajawal"/>
          <w:color w:val="7A3512"/>
          <w:sz w:val="22"/>
          <w:szCs w:val="22"/>
        </w:rPr>
        <w:t>• </w:t>
      </w:r>
      <w:r>
        <w:rPr>
          <w:rFonts w:ascii="Tajawal" w:hAnsi="Tajawal" w:cs="Tajawal" w:eastAsia="Tajawal"/>
        </w:rPr>
        <w:t xml:space="preserve">retention/legal-hold controls remain roadmap-level items in the privacy readiness set</w:t>
      </w:r>
    </w:p>
    <w:p>
      <w:pPr>
        <w:pBdr>
          <w:bottom w:val="single" w:sz="12" w:space="1" w:color="A94F18"/>
        </w:pBdr>
        <w:spacing w:after="240"/>
      </w:pPr>
    </w:p>
    <w:p>
      <w:pPr>
        <w:pStyle w:val="Heading2"/>
      </w:pPr>
      <w:r>
        <w:rPr>
          <w:rFonts w:ascii="Tajawal" w:hAnsi="Tajawal" w:cs="Tajawal" w:eastAsia="Tajawal"/>
        </w:rPr>
        <w:t xml:space="preserve">7. Copied Source and Supporting Technical Artifacts</w:t>
      </w:r>
    </w:p>
    <w:p>
      <w:pPr>
        <w:pStyle w:val="Callout"/>
      </w:pPr>
      <w:r>
        <w:rPr>
          <w:rFonts w:ascii="Tajawal" w:hAnsi="Tajawal" w:cs="Tajawal" w:eastAsia="Tajawal"/>
        </w:rPr>
        <w:t xml:space="preserve">This package includes copied source snapshots under:</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artifacts/cto-mvp-handover/package-1-privacy-national-id-customer-reference/source</w:t>
      </w:r>
    </w:p>
    <w:p>
      <w:pPr>
        <w:pStyle w:val="Callout"/>
      </w:pPr>
      <w:r>
        <w:rPr>
          <w:rFonts w:ascii="Tajawal" w:hAnsi="Tajawal" w:cs="Tajawal" w:eastAsia="Tajawal"/>
        </w:rPr>
        <w:t xml:space="preserve">It also includes supporting references under:</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artifacts/cto-mvp-handover/package-1-privacy-national-id-customer-reference/supporting-artifacts</w:t>
      </w:r>
    </w:p>
    <w:p>
      <w:pPr>
        <w:pStyle w:val="Callout"/>
      </w:pPr>
      <w:r>
        <w:rPr>
          <w:rFonts w:ascii="Tajawal" w:hAnsi="Tajawal" w:cs="Tajawal" w:eastAsia="Tajawal"/>
        </w:rPr>
        <w:t xml:space="preserve">Key copied test files: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tests/CashLineERP.Api.Tests/AdminUserManagementQaTests.cs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tests/CashLineERP.Api.Tests/PlatformAndOnboardingServiceQaTests.cs</w:t>
      </w:r>
    </w:p>
    <w:p>
      <w:pPr>
        <w:pBdr>
          <w:bottom w:val="single" w:sz="12" w:space="1" w:color="A94F18"/>
        </w:pBdr>
        <w:spacing w:after="240"/>
      </w:pPr>
    </w:p>
    <w:p>
      <w:pPr>
        <w:pStyle w:val="Heading2"/>
      </w:pPr>
      <w:r>
        <w:rPr>
          <w:rFonts w:ascii="Tajawal" w:hAnsi="Tajawal" w:cs="Tajawal" w:eastAsia="Tajawal"/>
        </w:rPr>
        <w:t xml:space="preserve">8. CTO Review Focus</w:t>
      </w:r>
    </w:p>
    <w:p>
      <w:pPr>
        <w:pStyle w:val="Callout"/>
      </w:pPr>
      <w:r>
        <w:rPr>
          <w:rFonts w:ascii="Tajawal" w:hAnsi="Tajawal" w:cs="Tajawal" w:eastAsia="Tajawal"/>
        </w:rPr>
        <w:t xml:space="preserve">The CTO should review this package for:</w:t>
      </w:r>
    </w:p>
    <w:p>
      <w:pPr>
        <w:pStyle w:val="ListParagraph"/>
      </w:pPr>
      <w:r>
        <w:rPr>
          <w:rFonts w:ascii="Tajawal" w:hAnsi="Tajawal" w:cs="Tajawal" w:eastAsia="Tajawal"/>
          <w:color w:val="7A3512"/>
          <w:sz w:val="22"/>
          <w:szCs w:val="22"/>
        </w:rPr>
        <w:t>• </w:t>
      </w:r>
      <w:r>
        <w:rPr>
          <w:rFonts w:ascii="Tajawal" w:hAnsi="Tajawal" w:cs="Tajawal" w:eastAsia="Tajawal"/>
        </w:rPr>
        <w:t xml:space="preserve">whether the privacy baseline is strong enough for controlled MVP release messaging</w:t>
      </w:r>
    </w:p>
    <w:p>
      <w:pPr>
        <w:pStyle w:val="ListParagraph"/>
      </w:pPr>
      <w:r>
        <w:rPr>
          <w:rFonts w:ascii="Tajawal" w:hAnsi="Tajawal" w:cs="Tajawal" w:eastAsia="Tajawal"/>
          <w:color w:val="7A3512"/>
          <w:sz w:val="22"/>
          <w:szCs w:val="22"/>
        </w:rPr>
        <w:t>• </w:t>
      </w:r>
      <w:r>
        <w:rPr>
          <w:rFonts w:ascii="Tajawal" w:hAnsi="Tajawal" w:cs="Tajawal" w:eastAsia="Tajawal"/>
        </w:rPr>
        <w:t xml:space="preserve">whether firm national ID uniqueness logic is sufficient for live onboarding control</w:t>
      </w:r>
    </w:p>
    <w:p>
      <w:pPr>
        <w:pStyle w:val="ListParagraph"/>
      </w:pPr>
      <w:r>
        <w:rPr>
          <w:rFonts w:ascii="Tajawal" w:hAnsi="Tajawal" w:cs="Tajawal" w:eastAsia="Tajawal"/>
          <w:color w:val="7A3512"/>
          <w:sz w:val="22"/>
          <w:szCs w:val="22"/>
        </w:rPr>
        <w:t>• </w:t>
      </w:r>
      <w:r>
        <w:rPr>
          <w:rFonts w:ascii="Tajawal" w:hAnsi="Tajawal" w:cs="Tajawal" w:eastAsia="Tajawal"/>
        </w:rPr>
        <w:t xml:space="preserve">whether the party code/reference mechanism is acceptable as the stable MVP operational reference</w:t>
      </w:r>
    </w:p>
    <w:p>
      <w:pPr>
        <w:pStyle w:val="ListParagraph"/>
      </w:pPr>
      <w:r>
        <w:rPr>
          <w:rFonts w:ascii="Tajawal" w:hAnsi="Tajawal" w:cs="Tajawal" w:eastAsia="Tajawal"/>
          <w:color w:val="7A3512"/>
          <w:sz w:val="22"/>
          <w:szCs w:val="22"/>
        </w:rPr>
        <w:t>• </w:t>
      </w:r>
      <w:r>
        <w:rPr>
          <w:rFonts w:ascii="Tajawal" w:hAnsi="Tajawal" w:cs="Tajawal" w:eastAsia="Tajawal"/>
        </w:rPr>
        <w:t xml:space="preserve">whether the residual privacy roadmap items need to be elevated to pre-go-live mandatory scope or can remain post-MVP hardening items</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CTO MVP Handover Package 1</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CTO MVP Handover Package 1</dc:title>
  <dc:creator>Codex</dc:creator>
  <cp:lastModifiedBy>Codex</cp:lastModifiedBy>
  <dcterms:created xsi:type="dcterms:W3CDTF">2026-04-27T07:42:56Z</dcterms:created>
  <dcterms:modified xsi:type="dcterms:W3CDTF">2026-04-27T07:42:56Z</dcterms:modified>
</cp:coreProperties>
</file>