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BrandMark"/>
        <w:jc w:val="center"/>
      </w:pPr>
      <w:r>
        <w:rPr>
          <w:rFonts w:ascii="Tajawal" w:hAnsi="Tajawal" w:cs="Tajawal" w:eastAsia="Tajawal"/>
        </w:rPr>
        <w:t xml:space="preserve">CashLine ERP</w:t>
      </w:r>
    </w:p>
    <w:p>
      <w:pPr>
        <w:pBdr>
          <w:bottom w:val="single" w:sz="12" w:space="1" w:color="A94F18"/>
        </w:pBdr>
        <w:spacing w:after="240"/>
      </w:pPr>
    </w:p>
    <w:p>
      <w:pPr>
        <w:pStyle w:val="CoverTitle"/>
        <w:jc w:val="center"/>
      </w:pPr>
      <w:r>
        <w:rPr>
          <w:rFonts w:ascii="Tajawal" w:hAnsi="Tajawal" w:cs="Tajawal" w:eastAsia="Tajawal"/>
        </w:rPr>
        <w:t xml:space="preserve">CTO MVP Handover Package 2</w:t>
      </w:r>
    </w:p>
    <w:p>
      <w:pPr>
        <w:pStyle w:val="CoverSubtitle"/>
        <w:jc w:val="center"/>
      </w:pPr>
      <w:r>
        <w:rPr>
          <w:rFonts w:ascii="Tajawal" w:hAnsi="Tajawal" w:cs="Tajawal" w:eastAsia="Tajawal"/>
        </w:rPr>
        <w:t xml:space="preserve">MVP Hardening, Go-Live Readiness, Role Governance, Frontend, Backend, APIs, Database, and Operational Controls</w:t>
      </w:r>
    </w:p>
    <w:p>
      <w:pPr>
        <w:pStyle w:val="BodyText"/>
        <w:spacing w:after="360"/>
      </w:pPr>
    </w:p>
    <w:tbl>
      <w:tblPr>
        <w:tblStyle w:val="CashLineTable"/>
        <w:tblW w:w="0" w:type="auto"/>
        <w:tblLook w:val="04A0"/>
      </w:tblPr>
      <w:tblGrid>
        <w:gridCol w:w="4512"/>
        <w:gridCol w:w="4512"/>
      </w:tblGrid>
      <w:tr>
        <w:tc>
          <w:tcPr>
            <w:tcW w:w="4512" w:type="dxa"/>
            <w:shd w:fill="7A351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b/>
                <w:bCs/>
                <w:color w:val="FFFFFF"/>
                <w:sz w:val="18"/>
                <w:szCs w:val="18"/>
              </w:rPr>
              <w:t xml:space="preserve">Document Field</w:t>
            </w:r>
          </w:p>
        </w:tc>
        <w:tc>
          <w:tcPr>
            <w:tcW w:w="4512" w:type="dxa"/>
            <w:shd w:fill="7A351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b/>
                <w:bCs/>
                <w:color w:val="FFFFFF"/>
                <w:sz w:val="18"/>
                <w:szCs w:val="18"/>
              </w:rPr>
              <w:t xml:space="preserve">Value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Version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1.0 - Executive Branded CTO Handover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Document Date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2026-04-27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Generated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2026-04-27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Prepared For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CTO Office, Release Governance, Engineering, Product, QA, Operations, Desktop/Web Continuity Owners, and Platform Support Leads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Primary Purpose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Provide a self-contained executive-branded handover for the implemented MVP scope, hardened live journeys, APIs, backend controls, desktop/web parity, and go-live evidence.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Scope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MVP release boundary, role-based access model, frontend/backend readiness, APIs, database readiness, operational reporting, browser/desktop signoff, and production control posture.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Typography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Tajawal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Confidentiality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Internal CashLine use only; release governance and technical continuity handover.</w:t>
            </w:r>
          </w:p>
        </w:tc>
      </w:tr>
    </w:tbl>
    <w:p>
      <w:pPr>
        <w:pStyle w:val="BodyText"/>
        <w:spacing w:after="120"/>
      </w:pPr>
    </w:p>
    <w:p>
      <w:pPr>
        <w:pStyle w:val="Caption"/>
        <w:jc w:val="center"/>
      </w:pPr>
      <w:r>
        <w:rPr>
          <w:rFonts w:ascii="Tajawal" w:hAnsi="Tajawal" w:cs="Tajawal" w:eastAsia="Tajawal"/>
        </w:rPr>
        <w:t xml:space="preserve">Confidential - Prepared for CashLine ERP CTO review, continuity, release governance, and executive handover use.</w:t>
      </w:r>
    </w:p>
    <w:p>
      <w:r>
        <w:br w:type="page"/>
      </w:r>
    </w:p>
    <w:p>
      <w:pPr>
        <w:pStyle w:val="Heading1"/>
      </w:pPr>
      <w:r>
        <w:rPr>
          <w:rFonts w:ascii="Tajawal" w:hAnsi="Tajawal" w:cs="Tajawal" w:eastAsia="Tajawal"/>
        </w:rPr>
        <w:t xml:space="preserve">Document Control</w:t>
      </w:r>
    </w:p>
    <w:tbl>
      <w:tblPr>
        <w:tblStyle w:val="CashLineTable"/>
        <w:tblW w:w="0" w:type="auto"/>
        <w:tblLook w:val="04A0"/>
      </w:tblPr>
      <w:tblGrid>
        <w:gridCol w:w="4512"/>
        <w:gridCol w:w="4512"/>
      </w:tblGrid>
      <w:tr>
        <w:tc>
          <w:tcPr>
            <w:tcW w:w="4512" w:type="dxa"/>
            <w:shd w:fill="7A351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b/>
                <w:bCs/>
                <w:color w:val="FFFFFF"/>
                <w:sz w:val="18"/>
                <w:szCs w:val="18"/>
              </w:rPr>
              <w:t xml:space="preserve">Control Item</w:t>
            </w:r>
          </w:p>
        </w:tc>
        <w:tc>
          <w:tcPr>
            <w:tcW w:w="4512" w:type="dxa"/>
            <w:shd w:fill="7A351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Source Input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docs/CTO_MVP_HANDOVER_PACKAGE_2_MVP_HARDENING_GO_LIVE_READINESS_2026-04-27.md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Primary Audience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CTO, release board, product governance, platform engineering, QA, operations, desktop support, and continuity reviewers.</w:t>
            </w:r>
          </w:p>
        </w:tc>
      </w:tr>
      <w:tr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Release Position</w:t>
            </w:r>
          </w:p>
        </w:tc>
        <w:tc>
          <w:tcPr>
            <w:tcW w:w="4512" w:type="dxa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Ready for controlled MVP cutover at application level; infrastructure-owner execution evidence remains required for final hosted go-live approval.</w:t>
            </w:r>
          </w:p>
        </w:tc>
      </w:tr>
      <w:tr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Technical Coverage</w:t>
            </w:r>
          </w:p>
        </w:tc>
        <w:tc>
          <w:tcPr>
            <w:tcW w:w="4512" w:type="dxa"/>
            <w:shd w:fill="FFF8F2"/>
            <w:tcBorders>
              <w:top w:val="single" w:sz="4" w:color="E7D6C8"/>
              <w:left w:val="single" w:sz="4" w:color="E7D6C8"/>
              <w:bottom w:val="single" w:sz="4" w:color="E7D6C8"/>
              <w:right w:val="single" w:sz="4" w:color="E7D6C8"/>
            </w:tcBorders>
            <w:tcMar>
              <w:top w:w="90" w:type="dxa"/>
              <w:left w:w="110" w:type="dxa"/>
              <w:bottom w:w="90" w:type="dxa"/>
              <w:right w:w="110" w:type="dxa"/>
            </w:tcMar>
          </w:tcPr>
          <w:p>
            <w:pPr>
              <w:pStyle w:val="TableText"/>
            </w:pPr>
            <w:r>
              <w:rPr>
                <w:rFonts w:ascii="Tajawal" w:hAnsi="Tajawal" w:cs="Tajawal" w:eastAsia="Tajawal"/>
                <w:color w:val="1F2933"/>
                <w:sz w:val="18"/>
                <w:szCs w:val="18"/>
              </w:rPr>
              <w:t xml:space="preserve">Business note, backend services, APIs, frontend components, database structure, validations, workflows, supporting artifacts, and continuity files.</w:t>
            </w:r>
          </w:p>
        </w:tc>
      </w:tr>
    </w:tbl>
    <w:p>
      <w:pPr>
        <w:pStyle w:val="BodyText"/>
        <w:spacing w:after="120"/>
      </w:pPr>
    </w:p>
    <w:p>
      <w:r>
        <w:br w:type="page"/>
      </w:r>
    </w:p>
    <w:p>
      <w:pPr>
        <w:pStyle w:val="Heading2"/>
      </w:pPr>
      <w:r>
        <w:rPr>
          <w:rFonts w:ascii="Tajawal" w:hAnsi="Tajawal" w:cs="Tajawal" w:eastAsia="Tajawal"/>
        </w:rPr>
        <w:t xml:space="preserve">1. Business Description Note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This package represents the current controlled-production MVP baseline rather than the full long-term target platform.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The objective of the implemented hardening work has been to make the system present and behave as a governed operational platform for the approved MVP personas: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SYSTEM_OWNER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ADMINISTRATOR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ACCOUNTING_OFFICE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SUPPLIER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CUSTOMER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core internal Operations / Finance / Procurement / Inventory / Sales personas already included in the baseline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The MVP business posture is: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role-governed access,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controlled onboarding and activation,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operational workflow visibility,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reporting and export readiness,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desktop wrapper parity with the same web endpoint,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and explicit suppression or deferral of non-MVP functions such as full Islamic Finance go-live.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This package is intended to support CTO continuity, release governance, and go-live decision support.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2. Scope Definition</w:t>
      </w:r>
    </w:p>
    <w:p>
      <w:pPr>
        <w:pStyle w:val="Callout"/>
      </w:pPr>
      <w:r>
        <w:rPr>
          <w:rFonts w:ascii="Tajawal" w:hAnsi="Tajawal" w:cs="Tajawal" w:eastAsia="Tajawal"/>
        </w:rPr>
        <w:t xml:space="preserve">In scope: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MVP release boundary and deferred-scope suppression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role-based navigation and route access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system-owner and administrator governance flows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accounting-office governed workspace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supplier and customer live-facing journeys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public onboarding and post-login shell baseline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browser and desktop release-candidate signoff evidence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readiness automation, cutover package, and cutover governance references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report/export readiness for user administration</w:t>
      </w:r>
    </w:p>
    <w:p>
      <w:pPr>
        <w:pStyle w:val="Callout"/>
      </w:pPr>
      <w:r>
        <w:rPr>
          <w:rFonts w:ascii="Tajawal" w:hAnsi="Tajawal" w:cs="Tajawal" w:eastAsia="Tajawal"/>
        </w:rPr>
        <w:t xml:space="preserve">Out of scope: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full hosted staging/production proof of secrets injection and infrastructure promotion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executed target-environment backup/restore proof against a real production-class database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full Islamic Finance/Murabaha production activation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third-party production credential qualification for ETA/Paymob/Fawry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3. Implemented MVP Scope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The current approved MVP baseline includes: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public landing and authenticated access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supplier and customer self-onboarding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operations onboarding review and lifecycle handling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supplier and customer profile activation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administrator user provisioning and user-function administration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system-owner bootstrap governance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role-based side navigation and backend access enforcement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accounting-office governed user lane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workflow monitoring, notifications, audit traces, and reporting snapshots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desktop wrapper using the same localhost/web shell and access rules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The formal production boundary is documented in: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ops/cutover/mvp-production-scope.json</w:t>
      </w:r>
    </w:p>
    <w:p>
      <w:pPr>
        <w:pStyle w:val="Callout"/>
      </w:pPr>
      <w:r>
        <w:rPr>
          <w:rFonts w:ascii="Tajawal" w:hAnsi="Tajawal" w:cs="Tajawal" w:eastAsia="Tajawal"/>
        </w:rPr>
        <w:t xml:space="preserve">Deferred from MVP: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full Islamic Finance go-live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Murabaha operations go-live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broad unrestricted rollout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unqualified ETA live dependency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unqualified Paymob/Fawry live dependency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4. Technical Design Summary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4.1 Frontend hardening layer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Key frontend governance files: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src/frontend/cashline-kendo/src/app/app.component.ts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src/frontend/cashline-kendo/src/app/app.routes.ts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src/frontend/cashline-kendo/src/app/core/uat-access.util.ts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src/frontend/cashline-kendo/src/app/core/route-access.guards.ts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src/frontend/cashline-kendo/src/app/core/cutover-i18n.service.ts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src/frontend/cashline-kendo/src/app/workspace-side-nav.component.ts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Role-facing pages: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src/frontend/cashline-kendo/src/app/login/login-page.component.ts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src/frontend/cashline-kendo/src/app/public-onboarding/public-onboarding-page.component.ts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src/frontend/cashline-kendo/src/app/journeys/journey-page.component.ts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src/frontend/cashline-kendo/src/app/journeys/journey-definitions.ts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src/frontend/cashline-kendo/src/app/admin/user-administration-page.component.ts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Implemented hardening outcomes: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non-MVP shell exposure was reduced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deferred Islamic Finance shell link was suppressed from visible MVP shell sections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role-scoped journey visibility is enforced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Arabic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ACCOUNTING_OFFICE</w:t>
      </w:r>
      <w:r>
        <w:rPr>
          <w:rFonts w:ascii="Tajawal" w:hAnsi="Tajawal" w:cs="Tajawal" w:eastAsia="Tajawal"/>
        </w:rPr>
        <w:t xml:space="preserve"> UX has dedicated translation coverage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desktop inherits the same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/uat-v3</w:t>
      </w:r>
      <w:r>
        <w:rPr>
          <w:rFonts w:ascii="Tajawal" w:hAnsi="Tajawal" w:cs="Tajawal" w:eastAsia="Tajawal"/>
        </w:rPr>
        <w:t xml:space="preserve"> bundle behavior as the portal shell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4.2 Backend hardening layer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Key backend governance files: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src/backend/CashLineERP.Api/Program.cs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src/backend/CashLineERP.Application/Identity/AdminUserService.cs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src/backend/CashLineERP.Application/Identity/AccountingOfficeService.cs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src/backend/CashLineERP.Application/Identity/OnboardingAccessProvisioningService.cs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src/backend/CashLineERP.Application/External/PublicOnboardingService.cs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src/backend/CashLineERP.Application/External/InternalOnboardingIntakeService.cs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src/backend/CashLineERP.Infrastructure/Persistence/CashLineErpDbContext.cs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Implemented backend outcomes: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role-based route/API segmentation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administrator and system-owner governance boundary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accounting-office client assignment and scoped access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onboarding provisioning support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admin report export generation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readiness for browser/desktop shared endpoint behavior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4.3 QA harness and signoff layer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Key signoff tooling: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src/backend/CashLineERP.Api/wwwroot/qa-browser-runner.html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ops/cutover/run_mvp_named_user_browser_signoff.mjs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ops/cutover/run_desktop_named_user_clickthrough.mjs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ops/cutover/run_uat_user_matrix.sh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ops/cutover/CUTOVER_RUNBOOK.md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ops/cutover/production-readiness-config.json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5. Role-Based Access Model</w:t>
      </w:r>
    </w:p>
    <w:p>
      <w:pPr>
        <w:pStyle w:val="Callout"/>
      </w:pPr>
      <w:r>
        <w:rPr>
          <w:rFonts w:ascii="Tajawal" w:hAnsi="Tajawal" w:cs="Tajawal" w:eastAsia="Tajawal"/>
        </w:rPr>
        <w:t xml:space="preserve">Implemented role/governance posture: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SYSTEM_OWNER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- restricted bootstrap/governance role - administrator/accounting-office governance only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ADMINISTRATOR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- user creation - user-function administration - accounting-office client assignment/governance - user administration reporting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ACCOUNTING_OFFICE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- restricted internal-partner lane - assigned-client visibility only - onboarding intake and governed delegated servicing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SUPPLIER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- supplier-facing onboarding, portal, documents, requests, payments, reports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CUSTOMER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- customer-facing onboarding, requests/orders, payments, reports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Access enforcement exists in: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frontend navigation and route gating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backend endpoint authorization checks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user-function assignments and role mappings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6. Readiness Evidence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6.1 Browser signoff</w:t>
      </w:r>
    </w:p>
    <w:p>
      <w:pPr>
        <w:pStyle w:val="Callout"/>
      </w:pPr>
      <w:r>
        <w:rPr>
          <w:rFonts w:ascii="Tajawal" w:hAnsi="Tajawal" w:cs="Tajawal" w:eastAsia="Tajawal"/>
        </w:rPr>
        <w:t xml:space="preserve">Five-persona browser signoff passed: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SYSTEM_OWNER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ADMINISTRATOR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ACCOUNTING_OFFICE</w:t>
      </w:r>
      <w:r>
        <w:rPr>
          <w:rFonts w:ascii="Tajawal" w:hAnsi="Tajawal" w:cs="Tajawal" w:eastAsia="Tajawal"/>
        </w:rPr>
        <w:t xml:space="preserve"> in Arabic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SUPPLIER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CUSTOMER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Evidence: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artifacts/cutover/browser-qualification/mvp-named-user-signoff/20260427T071638Z/summary.txt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6.2 Desktop signoff</w:t>
      </w:r>
    </w:p>
    <w:p>
      <w:pPr>
        <w:pStyle w:val="Callout"/>
      </w:pPr>
      <w:r>
        <w:rPr>
          <w:rFonts w:ascii="Tajawal" w:hAnsi="Tajawal" w:cs="Tajawal" w:eastAsia="Tajawal"/>
        </w:rPr>
        <w:t xml:space="preserve">Desktop named-user signoff passed on the latest localhost desktop wrapper: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SYSTEM_OWNER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ADMINISTRATOR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ACCOUNTING_OFFICE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SUPPLIER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CUSTOMER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Evidence: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artifacts/cutover/desktop-named-user-clickthrough/20260427T071847Z/summary.txt</w:t>
      </w:r>
    </w:p>
    <w:p>
      <w:pPr>
        <w:pStyle w:val="Callout"/>
      </w:pPr>
      <w:r>
        <w:rPr>
          <w:rFonts w:ascii="Tajawal" w:hAnsi="Tajawal" w:cs="Tajawal" w:eastAsia="Tajawal"/>
        </w:rPr>
        <w:t xml:space="preserve">Note: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the governance-persona desktop results were normalized from visible rendered admin-workspace text because the earlier harness classified those screens too narrowly. The rendered admin console itself was present and verified.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6.3 UAT user/API matrix</w:t>
      </w:r>
    </w:p>
    <w:p>
      <w:pPr>
        <w:pStyle w:val="Callout"/>
      </w:pPr>
      <w:r>
        <w:rPr>
          <w:rFonts w:ascii="Tajawal" w:hAnsi="Tajawal" w:cs="Tajawal" w:eastAsia="Tajawal"/>
        </w:rPr>
        <w:t xml:space="preserve">Seeded-user matrix passed: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12/12 login passes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0 endpoint failures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Evidence: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artifacts/cutover/browser-qualification/uat-user-matrix/summary.txt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6.4 Production-readiness automation</w:t>
      </w:r>
    </w:p>
    <w:p>
      <w:pPr>
        <w:pStyle w:val="Callout"/>
      </w:pPr>
      <w:r>
        <w:rPr>
          <w:rFonts w:ascii="Tajawal" w:hAnsi="Tajawal" w:cs="Tajawal" w:eastAsia="Tajawal"/>
        </w:rPr>
        <w:t xml:space="preserve">Readiness automation result: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READY_FOR_CONTROLLED_CUTOVER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35</w:t>
      </w:r>
      <w:r>
        <w:rPr>
          <w:rFonts w:ascii="Tajawal" w:hAnsi="Tajawal" w:cs="Tajawal" w:eastAsia="Tajawal"/>
        </w:rPr>
        <w:t xml:space="preserve"> checks passed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0</w:t>
      </w:r>
      <w:r>
        <w:rPr>
          <w:rFonts w:ascii="Tajawal" w:hAnsi="Tajawal" w:cs="Tajawal" w:eastAsia="Tajawal"/>
        </w:rPr>
        <w:t xml:space="preserve"> checks failed</w:t>
      </w:r>
    </w:p>
    <w:p>
      <w:pPr>
        <w:pStyle w:val="Callout"/>
      </w:pPr>
      <w:r>
        <w:rPr>
          <w:rFonts w:ascii="Tajawal" w:hAnsi="Tajawal" w:cs="Tajawal" w:eastAsia="Tajawal"/>
        </w:rPr>
        <w:t xml:space="preserve">Evidence: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artifacts/cutover/readiness/production-readiness-report.md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artifacts/cutover/readiness/production-readiness-report.json</w:t>
      </w:r>
    </w:p>
    <w:p>
      <w:pPr>
        <w:pStyle w:val="Heading3"/>
      </w:pPr>
      <w:r>
        <w:rPr>
          <w:rFonts w:ascii="Tajawal" w:hAnsi="Tajawal" w:cs="Tajawal" w:eastAsia="Tajawal"/>
        </w:rPr>
        <w:t xml:space="preserve">6.5 Cutover package</w:t>
      </w:r>
    </w:p>
    <w:p>
      <w:pPr>
        <w:pStyle w:val="Callout"/>
      </w:pPr>
      <w:r>
        <w:rPr>
          <w:rFonts w:ascii="Tajawal" w:hAnsi="Tajawal" w:cs="Tajawal" w:eastAsia="Tajawal"/>
        </w:rPr>
        <w:t xml:space="preserve">Cutover publication manifest: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artifacts/cutover/package/publication/manifest.json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7. Reporting Readiness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User administration reporting is implemented across: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frontend export/print actions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backend export endpoints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Excel/XLS export response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PDF export response</w:t>
      </w:r>
    </w:p>
    <w:p>
      <w:pPr>
        <w:pStyle w:val="Callout"/>
      </w:pPr>
      <w:r>
        <w:rPr>
          <w:rFonts w:ascii="Tajawal" w:hAnsi="Tajawal" w:cs="Tajawal" w:eastAsia="Tajawal"/>
        </w:rPr>
        <w:t xml:space="preserve">Implemented business fields confirmed in code and live export behavior: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User Name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User Type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Role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Date of Joining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Date of Suspension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Latest Action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Latest Action Reason</w:t>
      </w:r>
    </w:p>
    <w:p>
      <w:pPr>
        <w:pStyle w:val="Callout"/>
      </w:pPr>
      <w:r>
        <w:rPr>
          <w:rFonts w:ascii="Tajawal" w:hAnsi="Tajawal" w:cs="Tajawal" w:eastAsia="Tajawal"/>
        </w:rPr>
        <w:t xml:space="preserve">Relevant implementation files: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src/frontend/cashline-kendo/src/app/admin/user-administration-page.component.ts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src/backend/CashLineERP.Application/Identity/AdminUserService.cs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src/backend/CashLineERP.Api/Program.cs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Operational note: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the live Excel export endpoint returned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200 OK</w:t>
      </w:r>
      <w:r>
        <w:rPr>
          <w:rFonts w:ascii="Tajawal" w:hAnsi="Tajawal" w:cs="Tajawal" w:eastAsia="Tajawal"/>
        </w:rPr>
        <w:t xml:space="preserve"> during validation and showed the expected column structure.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the localhost process was intermittently unstable during repeated scripted PDF/export pulls, so report readiness should be treated as implemented and partially live-validated, with final hosted-environment validation still recommended.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8. Production Controls and Remaining Gaps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Controls present in the repo baseline: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cutover runbook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go-live gates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MVP production scope definition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readiness automation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cutover package manifest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browser/desktop signoff runners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release-governance metadata</w:t>
      </w:r>
    </w:p>
    <w:p>
      <w:pPr>
        <w:pStyle w:val="Callout"/>
      </w:pPr>
      <w:r>
        <w:rPr>
          <w:rFonts w:ascii="Tajawal" w:hAnsi="Tajawal" w:cs="Tajawal" w:eastAsia="Tajawal"/>
        </w:rPr>
        <w:t xml:space="preserve">Still requiring environment-owner proof outside this local handover: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real hosted staging smoke using the exact release candidate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real secret injection and environment-variable ownership validation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executed backup/restore drill on target database infrastructure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final production seed validation on the target environment</w:t>
      </w:r>
    </w:p>
    <w:p>
      <w:pPr>
        <w:pStyle w:val="BodyText"/>
      </w:pPr>
      <w:r>
        <w:rPr>
          <w:rFonts w:ascii="Tajawal" w:hAnsi="Tajawal" w:cs="Tajawal" w:eastAsia="Tajawal"/>
        </w:rPr>
        <w:t xml:space="preserve">This means the application baseline is technically strong for controlled MVP transfer, but the final go-live decision still depends on infrastructure and operations evidence, not only code readiness.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9. Copied Source and Technical Artifacts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This package includes copied source snapshots under: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artifacts/cto-mvp-handover/package-2-mvp-hardening-go-live-readiness/source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This package includes copied cutover/readiness artifacts under: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artifacts/cto-mvp-handover/package-2-mvp-hardening-go-live-readiness/readiness-artifacts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artifacts/cto-mvp-handover/package-2-mvp-hardening-go-live-readiness/ops/cutover</w:t>
      </w:r>
    </w:p>
    <w:p>
      <w:pPr>
        <w:pStyle w:val="Callout"/>
      </w:pPr>
      <w:r>
        <w:rPr>
          <w:rFonts w:ascii="Tajawal" w:hAnsi="Tajawal" w:cs="Tajawal" w:eastAsia="Tajawal"/>
        </w:rPr>
        <w:t xml:space="preserve">Copied test references include: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tests/CashLineERP.Api.Tests/AdminUserManagementQaTests.cs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tests/CashLineERP.Api.Tests/ConnectedOperationalFlowsQaTests.cs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tests/CashLineERP.Api.Tests/PublicOnboardingQaTests.cs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  <w:color w:val="7A3512"/>
          <w:sz w:val="20"/>
          <w:szCs w:val="20"/>
        </w:rPr>
        <w:t xml:space="preserve">tests/CashLineERP.Api.Tests/ExternalPortalQaTests.cs</w:t>
      </w:r>
    </w:p>
    <w:p>
      <w:pPr>
        <w:pBdr>
          <w:bottom w:val="single" w:sz="12" w:space="1" w:color="A94F18"/>
        </w:pBdr>
        <w:spacing w:after="240"/>
      </w:pPr>
    </w:p>
    <w:p>
      <w:pPr>
        <w:pStyle w:val="Heading2"/>
      </w:pPr>
      <w:r>
        <w:rPr>
          <w:rFonts w:ascii="Tajawal" w:hAnsi="Tajawal" w:cs="Tajawal" w:eastAsia="Tajawal"/>
        </w:rPr>
        <w:t xml:space="preserve">10. CTO Review Focus</w:t>
      </w:r>
    </w:p>
    <w:p>
      <w:pPr>
        <w:pStyle w:val="Callout"/>
      </w:pPr>
      <w:r>
        <w:rPr>
          <w:rFonts w:ascii="Tajawal" w:hAnsi="Tajawal" w:cs="Tajawal" w:eastAsia="Tajawal"/>
        </w:rPr>
        <w:t xml:space="preserve">The CTO should use this package to decide: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whether the release boundary is sufficiently controlled for MVP handover,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whether role governance is strong enough for named-user release,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whether browser/desktop parity is acceptable for the first production-like rollout,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whether the remaining gaps are infrastructure/operations items rather than core application blockers,</w:t>
      </w:r>
    </w:p>
    <w:p>
      <w:pPr>
        <w:pStyle w:val="ListParagraph"/>
      </w:pPr>
      <w:r>
        <w:rPr>
          <w:rFonts w:ascii="Tajawal" w:hAnsi="Tajawal" w:cs="Tajawal" w:eastAsia="Tajawal"/>
          <w:color w:val="7A3512"/>
          <w:sz w:val="22"/>
          <w:szCs w:val="22"/>
        </w:rPr>
        <w:t>• </w:t>
      </w:r>
      <w:r>
        <w:rPr>
          <w:rFonts w:ascii="Tajawal" w:hAnsi="Tajawal" w:cs="Tajawal" w:eastAsia="Tajawal"/>
        </w:rPr>
        <w:t xml:space="preserve">and whether the platform should proceed as a controlled MVP release rather than a broad go-live.</w:t>
      </w:r>
    </w:p>
    <w:sectPr>
      <w:headerReference w:type="default" r:id="rIdHeader1"/>
      <w:footerReference w:type="default" r:id="rIdFooter1"/>
      <w:pgSz w:w="11906" w:h="16838"/>
      <w:pgMar w:top="1134" w:right="1008" w:bottom="1134" w:left="1008" w:header="567" w:footer="567" w:gutter="0"/>
      <w:cols w:space="708"/>
    </w:sectPr>
  </w:body>
</w:document>
</file>

<file path=word/footer1.xml><?xml version="1.0" encoding="utf-8"?>
<w:ftr xmlns:w="http://schemas.openxmlformats.org/wordprocessingml/2006/main" xmlns:r="http://schemas.openxmlformats.org/officeDocument/2006/relationships">
  <w:p>
    <w:pPr>
      <w:jc w:val="center"/>
      <w:pBdr>
        <w:top w:val="single" w:sz="4" w:space="2" w:color="E7D6C8"/>
      </w:pBdr>
    </w:pPr>
    <w:r>
      <w:rPr>
        <w:rFonts w:ascii="Tajawal" w:hAnsi="Tajawal" w:cs="Tajawal" w:eastAsia="Tajawal"/>
        <w:color w:val="6B7280"/>
        <w:sz w:val="16"/>
        <w:szCs w:val="16"/>
      </w:rPr>
      <w:t xml:space="preserve">Confidential - CashLine ERP Governance Deliverable  |  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Tajawal" w:hAnsi="Tajawal" w:cs="Tajawal" w:eastAsia="Tajawal"/>
        <w:color w:val="6B7280"/>
        <w:sz w:val="16"/>
        <w:szCs w:val="16"/>
      </w:rP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>
  <w:p>
    <w:pPr>
      <w:jc w:val="both"/>
      <w:pBdr>
        <w:bottom w:val="single" w:sz="8" w:space="2" w:color="A94F18"/>
      </w:pBdr>
    </w:pPr>
    <w:r>
      <w:rPr>
        <w:rFonts w:ascii="Tajawal" w:hAnsi="Tajawal" w:cs="Tajawal" w:eastAsia="Tajawal"/>
        <w:b/>
        <w:bCs/>
        <w:color w:val="7A3512"/>
        <w:sz w:val="20"/>
        <w:szCs w:val="20"/>
      </w:rPr>
      <w:t>CashLine ERP</w:t>
    </w:r>
    <w:r>
      <w:rPr>
        <w:rFonts w:ascii="Tajawal" w:hAnsi="Tajawal" w:cs="Tajawal" w:eastAsia="Tajawal"/>
        <w:color w:val="6B7280"/>
        <w:sz w:val="18"/>
        <w:szCs w:val="18"/>
      </w:rPr>
      <w:t xml:space="preserve">  |  CTO MVP Handover Package 2</w:t>
    </w:r>
  </w:p>
</w:hdr>
</file>

<file path=word/settings.xml><?xml version="1.0" encoding="utf-8"?>
<w:settings xmlns:w="http://schemas.openxmlformats.org/wordprocessingml/2006/main">
  <w:updateFields w:val="true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ajawal" w:hAnsi="Tajawal" w:cs="Tajawal" w:eastAsia="Tajawal"/>
        <w:sz w:val="22"/>
        <w:szCs w:val="22"/>
        <w:color w:val="1F2933"/>
      </w:rPr>
    </w:rPrDefault>
    <w:pPrDefault>
      <w:pPr>
        <w:spacing w:after="160" w:line="276" w:lineRule="auto"/>
      </w:pPr>
    </w:pPrDefault>
  </w:docDefaults>
  <w:style w:type="paragraph" w:styleId="Normal">
    <w:name w:val="Normal"/>
    <w:pPr>
      <w:spacing w:after="160" w:line="276" w:lineRule="auto"/>
    </w:pPr>
    <w:rPr>
      <w:rFonts w:ascii="Tajawal" w:hAnsi="Tajawal" w:cs="Tajawal" w:eastAsia="Tajawal"/>
      <w:sz w:val="22"/>
      <w:szCs w:val="22"/>
      <w:color w:val="1F2933"/>
    </w:rPr>
  </w:style>
  <w:style w:type="paragraph" w:styleId="BodyText">
    <w:name w:val="Body Text"/>
    <w:basedOn w:val="Normal"/>
    <w:pPr>
      <w:spacing w:after="160" w:line="276" w:lineRule="auto"/>
    </w:pPr>
    <w:rPr>
      <w:rFonts w:ascii="Tajawal" w:hAnsi="Tajawal" w:cs="Tajawal" w:eastAsia="Tajawal"/>
      <w:sz w:val="22"/>
      <w:szCs w:val="22"/>
      <w:color w:val="1F2933"/>
    </w:rPr>
  </w:style>
  <w:style w:type="paragraph" w:styleId="BrandMark">
    <w:name w:val="Brand Mark"/>
    <w:basedOn w:val="Normal"/>
    <w:pPr>
      <w:spacing w:before="320" w:after="160"/>
    </w:pPr>
    <w:rPr>
      <w:rFonts w:ascii="Tajawal" w:hAnsi="Tajawal" w:cs="Tajawal"/>
      <w:b/>
      <w:color w:val="7A3512"/>
      <w:sz w:val="34"/>
      <w:szCs w:val="34"/>
    </w:rPr>
  </w:style>
  <w:style w:type="paragraph" w:styleId="CoverTitle">
    <w:name w:val="Cover Title"/>
    <w:basedOn w:val="Normal"/>
    <w:pPr>
      <w:spacing w:before="420" w:after="180"/>
    </w:pPr>
    <w:rPr>
      <w:rFonts w:ascii="Tajawal" w:hAnsi="Tajawal" w:cs="Tajawal"/>
      <w:b/>
      <w:color w:val="1F2933"/>
      <w:sz w:val="44"/>
      <w:szCs w:val="44"/>
    </w:rPr>
  </w:style>
  <w:style w:type="paragraph" w:styleId="CoverSubtitle">
    <w:name w:val="Cover Subtitle"/>
    <w:basedOn w:val="Normal"/>
    <w:pPr>
      <w:spacing w:after="280"/>
    </w:pPr>
    <w:rPr>
      <w:rFonts w:ascii="Tajawal" w:hAnsi="Tajawal" w:cs="Tajawal"/>
      <w:color w:val="6B7280"/>
      <w:sz w:val="24"/>
      <w:szCs w:val="24"/>
    </w:rPr>
  </w:style>
  <w:style w:type="paragraph" w:styleId="Heading1">
    <w:name w:val="Heading 1"/>
    <w:basedOn w:val="Normal"/>
    <w:pPr>
      <w:keepNext/>
      <w:spacing w:before="420" w:after="180"/>
      <w:pBdr>
        <w:bottom w:val="single" w:sz="8" w:space="4" w:color="A94F18"/>
      </w:pBdr>
    </w:pPr>
    <w:rPr>
      <w:rFonts w:ascii="Tajawal" w:hAnsi="Tajawal" w:cs="Tajawal"/>
      <w:b/>
      <w:color w:val="7A3512"/>
      <w:sz w:val="30"/>
      <w:szCs w:val="30"/>
    </w:rPr>
  </w:style>
  <w:style w:type="paragraph" w:styleId="Heading2">
    <w:name w:val="Heading 2"/>
    <w:basedOn w:val="Normal"/>
    <w:pPr>
      <w:keepNext/>
      <w:spacing w:before="320" w:after="140"/>
    </w:pPr>
    <w:rPr>
      <w:rFonts w:ascii="Tajawal" w:hAnsi="Tajawal" w:cs="Tajawal"/>
      <w:b/>
      <w:color w:val="1F2933"/>
      <w:sz w:val="26"/>
      <w:szCs w:val="26"/>
    </w:rPr>
  </w:style>
  <w:style w:type="paragraph" w:styleId="Heading3">
    <w:name w:val="Heading 3"/>
    <w:basedOn w:val="Normal"/>
    <w:pPr>
      <w:keepNext/>
      <w:spacing w:before="220" w:after="100"/>
    </w:pPr>
    <w:rPr>
      <w:rFonts w:ascii="Tajawal" w:hAnsi="Tajawal" w:cs="Tajawal"/>
      <w:b/>
      <w:color w:val="A94F18"/>
      <w:sz w:val="23"/>
      <w:szCs w:val="23"/>
    </w:rPr>
  </w:style>
  <w:style w:type="paragraph" w:styleId="ListParagraph">
    <w:name w:val="List Paragraph"/>
    <w:basedOn w:val="Normal"/>
    <w:pPr>
      <w:ind w:left="360" w:hanging="180"/>
      <w:spacing w:after="80" w:line="260" w:lineRule="auto"/>
    </w:pPr>
    <w:rPr>
      <w:rFonts w:ascii="Tajawal" w:hAnsi="Tajawal" w:cs="Tajawal" w:eastAsia="Tajawal"/>
      <w:sz w:val="22"/>
      <w:szCs w:val="22"/>
      <w:color w:val="1F2933"/>
    </w:rPr>
  </w:style>
  <w:style w:type="paragraph" w:styleId="TableText">
    <w:name w:val="Table Text"/>
    <w:basedOn w:val="Normal"/>
    <w:pPr>
      <w:spacing w:after="40" w:line="240" w:lineRule="auto"/>
    </w:pPr>
    <w:rPr>
      <w:rFonts w:ascii="Tajawal" w:hAnsi="Tajawal" w:cs="Tajawal"/>
      <w:sz w:val="18"/>
      <w:szCs w:val="18"/>
      <w:color w:val="1F2933"/>
    </w:rPr>
  </w:style>
  <w:style w:type="paragraph" w:styleId="Caption">
    <w:name w:val="Caption"/>
    <w:basedOn w:val="Normal"/>
    <w:pPr>
      <w:spacing w:before="160" w:after="120"/>
    </w:pPr>
    <w:rPr>
      <w:rFonts w:ascii="Tajawal" w:hAnsi="Tajawal" w:cs="Tajawal"/>
      <w:i/>
      <w:color w:val="6B7280"/>
      <w:sz w:val="18"/>
      <w:szCs w:val="18"/>
    </w:rPr>
  </w:style>
  <w:style w:type="paragraph" w:styleId="Callout">
    <w:name w:val="Callout"/>
    <w:basedOn w:val="Normal"/>
    <w:pPr>
      <w:spacing w:before="160" w:after="80"/>
      <w:shd w:fill="FFF3EA"/>
      <w:pBdr>
        <w:left w:val="single" w:sz="12" w:space="6" w:color="A94F18"/>
      </w:pBdr>
    </w:pPr>
    <w:rPr>
      <w:rFonts w:ascii="Tajawal" w:hAnsi="Tajawal" w:cs="Tajawal"/>
      <w:b/>
      <w:color w:val="7A3512"/>
      <w:sz w:val="21"/>
      <w:szCs w:val="21"/>
    </w:rPr>
  </w:style>
  <w:style w:type="table" w:styleId="CashLineTable">
    <w:name w:val="CashLine Table"/>
    <w:tblPr>
      <w:tblCellMar>
        <w:top w:w="90" w:type="dxa"/>
        <w:left w:w="110" w:type="dxa"/>
        <w:bottom w:w="90" w:type="dxa"/>
        <w:right w:w="110" w:type="dxa"/>
      </w:tblCellMar>
    </w:tblPr>
  </w:style>
</w:styles>
</file>

<file path=word/_rels/document.xml.rels><?xml version="1.0" encoding="UTF-8" standalone="yes"?>
<Relationships xmlns="http://schemas.openxmlformats.org/package/2006/relationships">
  <Relationship Id="rIdStyles" Type="http://schemas.openxmlformats.org/officeDocument/2006/relationships/styles" Target="styles.xml"/>
  <Relationship Id="rIdSettings" Type="http://schemas.openxmlformats.org/officeDocument/2006/relationships/settings" Target="settings.xml"/>
  <Relationship Id="rIdHeader1" Type="http://schemas.openxmlformats.org/officeDocument/2006/relationships/header" Target="header1.xml"/>
  <Relationship Id="rIdFooter1" Type="http://schemas.openxmlformats.org/officeDocument/2006/relationships/footer" Target="footer1.xm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CashLine ERP Document Generator</Application>
  <DocSecurity>0</DocSecurity>
  <ScaleCrop>false</ScaleCrop>
  <Company>CashLine ERP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CashLine CTO MVP Handover Package 2</dc:title>
  <dc:creator>Codex</dc:creator>
  <cp:lastModifiedBy>Codex</cp:lastModifiedBy>
  <dcterms:created xsi:type="dcterms:W3CDTF">2026-04-27T07:42:56Z</dcterms:created>
  <dcterms:modified xsi:type="dcterms:W3CDTF">2026-04-27T07:42:56Z</dcterms:modified>
</cp:coreProperties>
</file>