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pStyle w:val="BrandMark"/>
        <w:jc w:val="center"/>
      </w:pPr>
      <w:r>
        <w:rPr>
          <w:rFonts w:ascii="Tajawal" w:hAnsi="Tajawal" w:cs="Tajawal" w:eastAsia="Tajawal"/>
        </w:rPr>
        <w:t xml:space="preserve">CashLine ERP</w:t>
      </w:r>
    </w:p>
    <w:p>
      <w:pPr>
        <w:pBdr>
          <w:bottom w:val="single" w:sz="12" w:space="1" w:color="A94F18"/>
        </w:pBdr>
        <w:spacing w:after="240"/>
      </w:pPr>
    </w:p>
    <w:p>
      <w:pPr>
        <w:pStyle w:val="CoverTitle"/>
        <w:jc w:val="center"/>
      </w:pPr>
      <w:r>
        <w:rPr>
          <w:rFonts w:ascii="Tajawal" w:hAnsi="Tajawal" w:cs="Tajawal" w:eastAsia="Tajawal"/>
        </w:rPr>
        <w:t xml:space="preserve">Egypt CTO Handover Pack</w:t>
      </w:r>
    </w:p>
    <w:p>
      <w:pPr>
        <w:pStyle w:val="CoverSubtitle"/>
        <w:jc w:val="center"/>
      </w:pPr>
      <w:r>
        <w:rPr>
          <w:rFonts w:ascii="Tajawal" w:hAnsi="Tajawal" w:cs="Tajawal" w:eastAsia="Tajawal"/>
        </w:rPr>
        <w:t xml:space="preserve">Strategy, Architecture, Privacy, Integration, Governance, MVP Readiness, Risks, And Implementation Backlog</w:t>
      </w:r>
    </w:p>
    <w:p>
      <w:pPr>
        <w:pStyle w:val="BodyText"/>
        <w:spacing w:after="360"/>
      </w:pP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Document 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Production MVP CTO Handover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Generated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Prepared For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CTO Office, Engineering, Product Governance, Compliance, Operations, Partnerships, and Incoming Business Team</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Primary Purpose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Convert the Egypt strategy and CTO draft into an implementation-ready production MVP handover pack</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Typography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Tajawal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Confidentiality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CashLine use only; not legal advice</w:t>
            </w:r>
          </w:p>
        </w:tc>
      </w:tr>
    </w:tbl>
    <w:p>
      <w:pPr>
        <w:pStyle w:val="BodyText"/>
        <w:spacing w:after="120"/>
      </w:pPr>
    </w:p>
    <w:p>
      <w:pPr>
        <w:pStyle w:val="Caption"/>
        <w:jc w:val="center"/>
      </w:pPr>
      <w:r>
        <w:rPr>
          <w:rFonts w:ascii="Tajawal" w:hAnsi="Tajawal" w:cs="Tajawal" w:eastAsia="Tajawal"/>
        </w:rPr>
        <w:t xml:space="preserve">Confidential - Prepared for CashLine Egypt CTO, product, compliance, operations, and go-live governance use.</w:t>
      </w:r>
    </w:p>
    <w:p>
      <w:r>
        <w:br w:type="page"/>
      </w:r>
    </w:p>
    <w:p>
      <w:pPr>
        <w:pStyle w:val="Heading1"/>
      </w:pPr>
      <w:r>
        <w:rPr>
          <w:rFonts w:ascii="Tajawal" w:hAnsi="Tajawal" w:cs="Tajawal" w:eastAsia="Tajawal"/>
        </w:rPr>
        <w:t xml:space="preserve">Document Control</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Control Item</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Source Input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Egypt CTO handover draft, current CashLine ERP implementation context, and production MVP planning baseline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strategy, architecture, privacy, data governance, ETA and third-party integrations, Administrator/System Owner governance, Islamic finance, QA, risks, and go-live readiness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Primary Audience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Incoming CTO team, business owners, product owners, implementation leads, QA, compliance, operations, and executive sponsors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Position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MVP preparation; wider rollout requires staged approval after stabilization</w:t>
            </w:r>
          </w:p>
        </w:tc>
      </w:tr>
    </w:tbl>
    <w:p>
      <w:pPr>
        <w:pStyle w:val="BodyText"/>
        <w:spacing w:after="120"/>
      </w:pPr>
    </w:p>
    <w:p>
      <w:r>
        <w:br w:type="page"/>
      </w:r>
    </w:p>
    <w:p>
      <w:pPr>
        <w:pStyle w:val="Heading2"/>
      </w:pPr>
      <w:r>
        <w:rPr>
          <w:rFonts w:ascii="Tajawal" w:hAnsi="Tajawal" w:cs="Tajawal" w:eastAsia="Tajawal"/>
        </w:rPr>
        <w:t xml:space="preserve">1. Executive Handover Summary</w:t>
      </w:r>
    </w:p>
    <w:p>
      <w:pPr>
        <w:pStyle w:val="BodyText"/>
      </w:pPr>
      <w:r>
        <w:rPr>
          <w:rFonts w:ascii="Tajawal" w:hAnsi="Tajawal" w:cs="Tajawal" w:eastAsia="Tajawal"/>
        </w:rPr>
        <w:t xml:space="preserve">This handover pack upgrades the previous CTO draft into a production-oriented working document for CashLine Egypt. It connects the commercial strategy, MVP system state, technical architecture, data governance, integration posture, privacy controls, go-live requirements, and management decisions needed to move CashLine from a strong demo/pilot environment toward a controlled production MVP.</w:t>
      </w:r>
    </w:p>
    <w:p>
      <w:pPr>
        <w:pStyle w:val="BodyText"/>
      </w:pPr>
      <w:r>
        <w:rPr>
          <w:rFonts w:ascii="Tajawal" w:hAnsi="Tajawal" w:cs="Tajawal" w:eastAsia="Tajawal"/>
        </w:rPr>
        <w:t xml:space="preserve">The core recommendation remains: CashLine should use the ERP platform as a customer-acquisition and operational-data layer, while monetizing through workflow services, Islamic finance orchestration, partner-funded financing, premium modules, and future transaction rails. The platform should not initially operate as a direct balance-sheet financier unless and until licensing, Shariah governance, capital, underwriting, collections, provisioning, and operational risk controls are formally established.</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Area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CTO Assessment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Action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strategy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Strong and coherent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ERP as the acquisition layer and finance orchestration as the monetization path</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system foundation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Materially advanced but still requires controlled production hardening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Complete privacy, security, monitoring, backup, and integration gates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 model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Correct direction with partner-funded entry model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Finalize partner contracts, lender API boundary, consent, and non-circumvention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 privacy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Good control direction, incomplete production specification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 customer/supplier consent, masking, audit, retention, and sharing controls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and third-party integrations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Recognized as a production uncertainty path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integration toggles and staging simulators ready until credentials are activated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Go-live readiness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can be moved toward controlled production, not broad rollout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staged deployment: Development, QA, Staging, Controlled Production MVP, Stabilization, Wider Rollout</w:t>
            </w:r>
          </w:p>
        </w:tc>
      </w:tr>
    </w:tbl>
    <w:p>
      <w:pPr>
        <w:pStyle w:val="BodyText"/>
        <w:spacing w:after="120"/>
      </w:pPr>
    </w:p>
    <w:p>
      <w:pPr>
        <w:pStyle w:val="Heading2"/>
      </w:pPr>
      <w:r>
        <w:rPr>
          <w:rFonts w:ascii="Tajawal" w:hAnsi="Tajawal" w:cs="Tajawal" w:eastAsia="Tajawal"/>
        </w:rPr>
        <w:t xml:space="preserve">2. Strategic Model For Egypt</w:t>
      </w:r>
    </w:p>
    <w:p>
      <w:pPr>
        <w:pStyle w:val="BodyText"/>
      </w:pPr>
      <w:r>
        <w:rPr>
          <w:rFonts w:ascii="Tajawal" w:hAnsi="Tajawal" w:cs="Tajawal" w:eastAsia="Tajawal"/>
        </w:rPr>
        <w:t xml:space="preserve">CashLine Egypt should avoid presenting itself as generic free ERP. The stronger positioning is a controlled operating platform for SMEs, suppliers, customers, procurement-heavy businesses, inventory-heavy businesses, and finance-seeking companies. ERP adoption creates the data and workflow foundation; finance orchestration, procurement controls, payments, reporting, compliance support, and partner services create defensible business value.</w:t>
      </w:r>
    </w:p>
    <w:p>
      <w:pPr>
        <w:pStyle w:val="BodyText"/>
      </w:pPr>
      <w:r>
        <w:rPr>
          <w:rFonts w:ascii="Tajawal" w:hAnsi="Tajawal" w:cs="Tajawal" w:eastAsia="Tajawal"/>
        </w:rPr>
        <w:t xml:space="preserve">The first commercial wedge should focus on businesses with observable operating signals, including procurement frequency, purchase orders, invoices, stock turnover, receivables discipline, supplier concentration, customer order behavior, settlement history, and document completeness. These signals support future financing decisions and make the platform more valuable than a static software subscription.</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Strategic Element</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Recommended Position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Entry offer</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Free or low-friction ERP for selected sectors and governorates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Core ownership</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owns the customer interface, workflow, data model, audit trail, and operational journey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Financing role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Licensed partners fund and underwrite early Islamic finance cases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role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Origination, workflow orchestration, document collection, operational scoring, customer servicing, and reporting</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Commercial upside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Partner fees, servicing fees, premium modules, transaction rails, reporting, and future finance vehicle economics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control</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 not expose raw ERP data or customer ownership to lenders without contract and technical controls</w:t>
            </w:r>
          </w:p>
        </w:tc>
      </w:tr>
    </w:tbl>
    <w:p>
      <w:pPr>
        <w:pStyle w:val="BodyText"/>
        <w:spacing w:after="120"/>
      </w:pPr>
    </w:p>
    <w:p>
      <w:pPr>
        <w:pStyle w:val="Heading2"/>
      </w:pPr>
      <w:r>
        <w:rPr>
          <w:rFonts w:ascii="Tajawal" w:hAnsi="Tajawal" w:cs="Tajawal" w:eastAsia="Tajawal"/>
        </w:rPr>
        <w:t xml:space="preserve">3. Recommended Finance Posture</w:t>
      </w:r>
    </w:p>
    <w:p>
      <w:pPr>
        <w:pStyle w:val="BodyText"/>
      </w:pPr>
      <w:r>
        <w:rPr>
          <w:rFonts w:ascii="Tajawal" w:hAnsi="Tajawal" w:cs="Tajawal" w:eastAsia="Tajawal"/>
        </w:rPr>
        <w:t xml:space="preserve">CashLine should support Islamic finance from the start as a platform capability, but should not carry financing exposure directly in the entry phase. A partner-funded model reduces early regulatory, liquidity, underwriting, provisioning, collections, and governance risk.</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Stage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CashLine Role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Capital 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Regulated Finance Role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Recommended Status</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Stage 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ERP, onboarding, origination, workflow, document collection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Partner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Partner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Best entry model</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Stage 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Deeper orchestration, repeat finance, lender dashboards, SLA monitoring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Mostly partner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Partner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Recommended scale model</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Stage 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Optional JV, dedicated finance vehicle, or licensed affiliate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affiliate, partner, or mixed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affiliate, partner, or mixed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Only after proof, controls, and capital plan</w:t>
            </w:r>
          </w:p>
        </w:tc>
      </w:tr>
    </w:tbl>
    <w:p>
      <w:pPr>
        <w:pStyle w:val="BodyText"/>
        <w:spacing w:after="120"/>
      </w:pPr>
    </w:p>
    <w:p>
      <w:pPr>
        <w:pStyle w:val="Heading2"/>
      </w:pPr>
      <w:r>
        <w:rPr>
          <w:rFonts w:ascii="Tajawal" w:hAnsi="Tajawal" w:cs="Tajawal" w:eastAsia="Tajawal"/>
        </w:rPr>
        <w:t xml:space="preserve">4. Partner Disintermediation Control Model</w:t>
      </w:r>
    </w:p>
    <w:p>
      <w:pPr>
        <w:pStyle w:val="BodyText"/>
      </w:pPr>
      <w:r>
        <w:rPr>
          <w:rFonts w:ascii="Tajawal" w:hAnsi="Tajawal" w:cs="Tajawal" w:eastAsia="Tajawal"/>
        </w:rPr>
        <w:t xml:space="preserve">The most important commercial risk is partner disintermediation. If lenders receive unrestricted raw customer data, operational history, procurement intelligence, and direct customer communication rights, CashLine can become only a lead source. The operating model must preserve CashLine as the customer relationship, workflow, and data-orchestration owner.</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Risk Area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Unsafe Model</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Controlled Model</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relationship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Lender contacts and services the customer directly outside CashLine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remains inside CashLine with controlled lender status updates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 access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Bulk export of ERP, procurement, customer, and financial history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Case-based API sharing with minimum necessary data</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Renewal economics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Lender renews directly without CashLine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Renewal and repeat-finance economics contractually protected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Partner owns performance data and approval analytics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receives status, SLA, approval, rejection, and servicing event data</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access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Direct database, unrestricted document folders, email attachments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gateway, expiring tokens, case vaults, audit logs, and download controls</w:t>
            </w:r>
          </w:p>
        </w:tc>
      </w:tr>
    </w:tbl>
    <w:p>
      <w:pPr>
        <w:pStyle w:val="BodyText"/>
        <w:spacing w:after="120"/>
      </w:pPr>
    </w:p>
    <w:p>
      <w:pPr>
        <w:pStyle w:val="Heading2"/>
      </w:pPr>
      <w:r>
        <w:rPr>
          <w:rFonts w:ascii="Tajawal" w:hAnsi="Tajawal" w:cs="Tajawal" w:eastAsia="Tajawal"/>
        </w:rPr>
        <w:t xml:space="preserve">5. Current Implemented System Landscape</w:t>
      </w:r>
    </w:p>
    <w:p>
      <w:pPr>
        <w:pStyle w:val="BodyText"/>
      </w:pPr>
      <w:r>
        <w:rPr>
          <w:rFonts w:ascii="Tajawal" w:hAnsi="Tajawal" w:cs="Tajawal" w:eastAsia="Tajawal"/>
        </w:rPr>
        <w:t xml:space="preserve">The current CashLine ERP system has moved beyond static UI and includes a broad production-like foundation across portals, internal workspaces, administrator governance, workflow logic, reporting, notification concepts, and desktop inheritance. The system is not yet a fully certified production environment, but the core module structure and operating model are now visible and suitable for controlled MVP hardening.</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Layer</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Current Status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CTO Handover Note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portal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Implemented shell and major journeys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Requires final privacy, notification, and live data controls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portal</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Implemented shell and major journeys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Requires final finance, AR, reporting, and privacy gates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operations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Implemented operational workbench direction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Needs production queue monitoring and SLA reporting</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Implemented user/function governance direction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 enforce backend/database access rules, not UI-only settings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Defined as bootstrap/governance role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 remain restricted to Administrator creation and Administrator activity reporting</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Implemented as a module foundation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Requires lender partner integration, Shariah review workflow, scoring, and production controls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Conceptual and partially integrated direction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Needs event-based notification center, retry, failure, and recovery hardening</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Implemented export/reporting direction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Needs export audit, role scoping, and sensitive-data masking</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app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Inherits portal shell behavior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 be regression-tested against every web change</w:t>
            </w:r>
          </w:p>
        </w:tc>
      </w:tr>
    </w:tbl>
    <w:p>
      <w:pPr>
        <w:pStyle w:val="BodyText"/>
        <w:spacing w:after="120"/>
      </w:pPr>
    </w:p>
    <w:p>
      <w:pPr>
        <w:pStyle w:val="Heading2"/>
      </w:pPr>
      <w:r>
        <w:rPr>
          <w:rFonts w:ascii="Tajawal" w:hAnsi="Tajawal" w:cs="Tajawal" w:eastAsia="Tajawal"/>
        </w:rPr>
        <w:t xml:space="preserve">6. Application Architecture Handover</w:t>
      </w:r>
    </w:p>
    <w:p>
      <w:pPr>
        <w:pStyle w:val="BodyText"/>
      </w:pPr>
      <w:r>
        <w:rPr>
          <w:rFonts w:ascii="Tajawal" w:hAnsi="Tajawal" w:cs="Tajawal" w:eastAsia="Tajawal"/>
        </w:rPr>
        <w:t xml:space="preserve">The target architecture should be understood as a multi-channel ERP and finance orchestration platform with role-based portals, shared backend services, a common data model, event-driven workflow integration, and controlled third-party integration boundaries.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Architecture Layer</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Components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Handover Requirement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Channel layer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Web portal, desktop app, future mobile/channel extensions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UI behavior, routes, roles, menu visibility, and branding consistent</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Experience layer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Customer, Internal, Administrator, System Owner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Enforce role visibility and function access through backend policy</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layer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 APIs, auth APIs, workflow APIs, reporting APIs, integration callbacks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Maintain versioned APIs and request/response traceability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Domain services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Onboarding, procurement, sales, AP, AR, Islamic finance, payments, reporting, notifications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business rules inside services, not only frontend components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Workflow/event layer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Outbox, async workers, notification retry, status transitions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Complete idempotency, failure handling, and monitoring</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 layer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Operational DB, document storage, audit logs, reporting datasets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Segregate sensitive records and retain auditability</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 layer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e-invoicing, Fawry, Paymob, lenders, banks, future credit bureau/scoring partners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all third parties behind integration adapters and feature flags</w:t>
            </w:r>
          </w:p>
        </w:tc>
      </w:tr>
    </w:tbl>
    <w:p>
      <w:pPr>
        <w:pStyle w:val="BodyText"/>
        <w:spacing w:after="120"/>
      </w:pPr>
    </w:p>
    <w:p>
      <w:pPr>
        <w:pStyle w:val="Heading2"/>
      </w:pPr>
      <w:r>
        <w:rPr>
          <w:rFonts w:ascii="Tajawal" w:hAnsi="Tajawal" w:cs="Tajawal" w:eastAsia="Tajawal"/>
        </w:rPr>
        <w:t xml:space="preserve">7. Database And Data Domain Handover</w:t>
      </w:r>
    </w:p>
    <w:p>
      <w:pPr>
        <w:pStyle w:val="BodyText"/>
      </w:pPr>
      <w:r>
        <w:rPr>
          <w:rFonts w:ascii="Tajawal" w:hAnsi="Tajawal" w:cs="Tajawal" w:eastAsia="Tajawal"/>
        </w:rPr>
        <w:t xml:space="preserve">The data model should be organized around ownership, sensitivity, and operational dependency. Data domains should not be treated as generic tables only; they should map to controls, access policies, retention rules, reporting rules, and integration boundaries.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Data Domain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Core Entity Examples</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Sensitivity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Primary Owner</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Identity and access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Users, roles, function sets, menu permissions, admin actions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 / Administrator governance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Party master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profile, customer profile, contacts, legal entity records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Restricted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 Onboarding</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KYC and compliance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IDs, CR, tax card, UBO, signatories, compliance documents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Confidential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Compliance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Procurement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RFQ, quotation, PO, GRN, supplier evaluation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Restricted commercial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Procurement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Sales and AR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Sales orders, invoices, receipts, customer statements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Restricted financial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 Sales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 and settlement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bills, payment batches, reconciliation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Restricted financial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 AP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requests, Murabaha cases, facilities, schedules, Shariah review, lender handoff</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Confidential finance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 / Compliance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ERP documents, finance-case vault, procurement vault, export packages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Confidential by class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governance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Events, inbox items, retries, failures, delivery logs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Restricted operational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 Platform</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and audit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 snapshots, exports, audit events, access logs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Confidential control evidence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Governance / Audit</w:t>
            </w:r>
          </w:p>
        </w:tc>
      </w:tr>
    </w:tbl>
    <w:p>
      <w:pPr>
        <w:pStyle w:val="BodyText"/>
        <w:spacing w:after="120"/>
      </w:pPr>
    </w:p>
    <w:p>
      <w:pPr>
        <w:pStyle w:val="Heading2"/>
      </w:pPr>
      <w:r>
        <w:rPr>
          <w:rFonts w:ascii="Tajawal" w:hAnsi="Tajawal" w:cs="Tajawal" w:eastAsia="Tajawal"/>
        </w:rPr>
        <w:t xml:space="preserve">8. Customer And Supplier Data Privacy Model</w:t>
      </w:r>
    </w:p>
    <w:p>
      <w:pPr>
        <w:pStyle w:val="BodyText"/>
      </w:pPr>
      <w:r>
        <w:rPr>
          <w:rFonts w:ascii="Tajawal" w:hAnsi="Tajawal" w:cs="Tajawal" w:eastAsia="Tajawal"/>
        </w:rPr>
        <w:t xml:space="preserve">CashLine should explicitly operate under a data-minimization, purpose-limited, audit-backed data privacy model. The system must distinguish personal data, business confidential data, regulated financial data, and operational workflow data.</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Privacy Control</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Requirement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Production Enforcement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Privacy notices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 and English notices for supplier/customer onboarding and finance requests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Versioned notice acceptance records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Consent capture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Separate consent for onboarding, KYC, notifications, third-party sharing, and finance application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Consent record linked to user, party, case, notice version, timestamp, and purpose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Sensitive masking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Mask national IDs, bank details, phone, email, tax IDs, and document references where not required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Field-level access control and masked report exports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 sharing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Lender sharing only after finance request and lawful purpose/consent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Case-based API payloads and no bulk export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Audit trail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Log view, edit, export, print, approve, reject, hold, suspend, delete, and share actions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Immutable audit events with actor, timestamp, object, and reason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Retention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Retain by data class and legal/business purpose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Retention matrix, archive, purge, and legal hold flags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Incident response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 breach/incident workflow</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DPO/security owner, investigation pack, and communication route</w:t>
            </w:r>
          </w:p>
        </w:tc>
      </w:tr>
    </w:tbl>
    <w:p>
      <w:pPr>
        <w:pStyle w:val="BodyText"/>
        <w:spacing w:after="120"/>
      </w:pPr>
    </w:p>
    <w:p>
      <w:pPr>
        <w:pStyle w:val="Heading2"/>
      </w:pPr>
      <w:r>
        <w:rPr>
          <w:rFonts w:ascii="Tajawal" w:hAnsi="Tajawal" w:cs="Tajawal" w:eastAsia="Tajawal"/>
        </w:rPr>
        <w:t xml:space="preserve">9. Third-Party And ETA Integration Handover</w:t>
      </w:r>
    </w:p>
    <w:p>
      <w:pPr>
        <w:pStyle w:val="BodyText"/>
      </w:pPr>
      <w:r>
        <w:rPr>
          <w:rFonts w:ascii="Tajawal" w:hAnsi="Tajawal" w:cs="Tajawal" w:eastAsia="Tajawal"/>
        </w:rPr>
        <w:t xml:space="preserve">ETA, e-invoicing, Fawry, Paymob, banks, lenders, and future scoring providers must be treated as controlled integration boundaries. These third parties are also listed as go-live uncertainty paths because credentials or partner activation may occur at any time and may force MVP scope activation or reprioritization.</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Integration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Position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Risk / Dependency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Control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e-invoicing / e-receipt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 MVP path depending on credential activation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Callback exposure, certificate, payload validation, retry behavior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gateway/DMZ, HTTPS, idempotency, callback audit</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 MVP path depending on partner response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 flow certification and reconciliation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Adapter, sandbox, transaction logs, feature flag</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 MVP path depending on partner response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 gateway setup and settlement matching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Adapter, sandbox, reconciliation, callback validation</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Lenders / Islamic finance partners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for finance orchestration pilot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Disintermediation, data leakage, SLA, underwriting turnaround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NDA, non-circumvention, case API, lender status events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Credit bureau / scoring providers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scoring path</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Legal basis, consent, data transfer, explainability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Consent, scoring versioning, audit, data minimization</w:t>
            </w:r>
          </w:p>
        </w:tc>
      </w:tr>
    </w:tbl>
    <w:p>
      <w:pPr>
        <w:pStyle w:val="BodyText"/>
        <w:spacing w:after="120"/>
      </w:pPr>
    </w:p>
    <w:p>
      <w:pPr>
        <w:pStyle w:val="Heading2"/>
      </w:pPr>
      <w:r>
        <w:rPr>
          <w:rFonts w:ascii="Tajawal" w:hAnsi="Tajawal" w:cs="Tajawal" w:eastAsia="Tajawal"/>
        </w:rPr>
        <w:t xml:space="preserve">10. ETA Callback Security Requirements</w:t>
      </w:r>
    </w:p>
    <w:p>
      <w:pPr>
        <w:pStyle w:val="BodyText"/>
      </w:pPr>
      <w:r>
        <w:rPr>
          <w:rFonts w:ascii="Tajawal" w:hAnsi="Tajawal" w:cs="Tajawal" w:eastAsia="Tajawal"/>
        </w:rPr>
        <w:t xml:space="preserve">ETA callback design must be isolated from the core ERP. ETA documentation indicates that ERP notification endpoints may need to be visible to ETA over the internet, protected by HTTPS, and idempotent due to possible retries. Therefore, the callback implementation must not expose the core ERP database, document repository, or internal administrative routes.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Implementation Direction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Internet-visible callback</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Expose only a narrow callback endpoint behind gateway/WAF</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HTTPS certificate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globally valid certificate and planned renewal process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Authentication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pre-shared key or configured authorization header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Idempotency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Deduplicate by delivery ID, UUID, submission UUID, and event type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Retry handling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Accept repeated events safely without duplicate state transitions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Audit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Store raw callback metadata, normalized event, status update, and processing result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Isolation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direct database or document storage exposure from callback zone</w:t>
            </w:r>
          </w:p>
        </w:tc>
      </w:tr>
    </w:tbl>
    <w:p>
      <w:pPr>
        <w:pStyle w:val="BodyText"/>
        <w:spacing w:after="120"/>
      </w:pPr>
    </w:p>
    <w:p>
      <w:pPr>
        <w:pStyle w:val="Heading2"/>
      </w:pPr>
      <w:r>
        <w:rPr>
          <w:rFonts w:ascii="Tajawal" w:hAnsi="Tajawal" w:cs="Tajawal" w:eastAsia="Tajawal"/>
        </w:rPr>
        <w:t xml:space="preserve">11. Administrator And System Owner Governance</w:t>
      </w:r>
    </w:p>
    <w:p>
      <w:pPr>
        <w:pStyle w:val="BodyText"/>
      </w:pPr>
      <w:r>
        <w:rPr>
          <w:rFonts w:ascii="Tajawal" w:hAnsi="Tajawal" w:cs="Tajawal" w:eastAsia="Tajawal"/>
        </w:rPr>
        <w:t xml:space="preserve">The Administrator module has evolved into a function-governance layer and must not remain only a user-provisioning screen. It should control users, roles, function sets, side-menu composition, feature visibility, action permissions, and reporting access across all portals.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Role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Permitted Scope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Explicitly Not Permitted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first Administrator, create additional Administrators, view Administrator activity reports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business modules, no supplier/customer operations, no finance workflows, no general reports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Create/manage users, assign roles/functions, manage menu/function governance, view user administration reports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operational business work unless separately assigned under another account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Operations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 onboarding, procurement, finance, reporting, and operational queues based on role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administrator bootstrap or system owner functions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 Customer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Own portal functions based on assigned role and function set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access to unrelated company data or internal workspaces</w:t>
            </w:r>
          </w:p>
        </w:tc>
      </w:tr>
    </w:tbl>
    <w:p>
      <w:pPr>
        <w:pStyle w:val="BodyText"/>
        <w:spacing w:after="120"/>
      </w:pPr>
    </w:p>
    <w:p>
      <w:pPr>
        <w:pStyle w:val="Heading2"/>
      </w:pPr>
      <w:r>
        <w:rPr>
          <w:rFonts w:ascii="Tajawal" w:hAnsi="Tajawal" w:cs="Tajawal" w:eastAsia="Tajawal"/>
        </w:rPr>
        <w:t xml:space="preserve">12. Islamic Finance Module Handover</w:t>
      </w:r>
    </w:p>
    <w:p>
      <w:pPr>
        <w:pStyle w:val="BodyText"/>
      </w:pPr>
      <w:r>
        <w:rPr>
          <w:rFonts w:ascii="Tajawal" w:hAnsi="Tajawal" w:cs="Tajawal" w:eastAsia="Tajawal"/>
        </w:rPr>
        <w:t xml:space="preserve">Islamic Finance is strategically important but should be governed carefully. MVP should support controlled intake, document collection, internal review, Shariah review status, lender handoff, offer visibility, decision tracking, and reporting. Advanced credit scoring and direct financing should remain controlled roadmap items unless partner, legal, and capital requirements are satisfied.</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Capability</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Scope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Post-MVP / Controlled Expansion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request intake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Supplier/customer application and document capture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Multi-product finance catalog</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Murabaha-first logic</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Basic Murabaha case workflow and asset/evidence capture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Automated contracts, schedules, and accounting hooks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Lender matching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Manual or rule-assisted partner assignment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Configurable scoring and lender allocation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Shariah review</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Status and evidence tracking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Formal Shariah board approval workflow</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Credit scoring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Pre-screening concept only unless separately implemented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Configurable scoring engine and external bureau integration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Offer generation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lender offer capture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Multi-lender offer marketplace</w:t>
            </w:r>
          </w:p>
        </w:tc>
      </w:tr>
    </w:tbl>
    <w:p>
      <w:pPr>
        <w:pStyle w:val="BodyText"/>
        <w:spacing w:after="120"/>
      </w:pPr>
    </w:p>
    <w:p>
      <w:pPr>
        <w:pStyle w:val="Heading2"/>
      </w:pPr>
      <w:r>
        <w:rPr>
          <w:rFonts w:ascii="Tajawal" w:hAnsi="Tajawal" w:cs="Tajawal" w:eastAsia="Tajawal"/>
        </w:rPr>
        <w:t xml:space="preserve">13. Production MVP Go-Live Path</w:t>
      </w:r>
    </w:p>
    <w:p>
      <w:pPr>
        <w:pStyle w:val="BodyText"/>
      </w:pPr>
      <w:r>
        <w:rPr>
          <w:rFonts w:ascii="Tajawal" w:hAnsi="Tajawal" w:cs="Tajawal" w:eastAsia="Tajawal"/>
        </w:rPr>
        <w:t xml:space="preserve">The recommended path remains a controlled staged release. The system should not move directly from development into broad production. It should pass through QA, staging/pre-production, controlled production MVP, stabilization, and wider rollout.</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Phase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Objective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Exit Gate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Complete selected MVP scope and stabilize branch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Code complete, unit tests, local integration checks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functions, roles, workflows, APIs, reports, and negative paths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defects closed, regression passed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 Pre-production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Mirror production topology and load production-like test data</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signoff, integration readiness, backup/restore proof</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MVP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Limited user and limited geography launch</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Smoke tests, monitoring, support desk, rollback plan active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Resolve defects, monitor events, tune operations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Stable metrics and no unresolved critical incidents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Expand users, sectors, locations, and integrations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Steering approval and capacity readiness</w:t>
            </w:r>
          </w:p>
        </w:tc>
      </w:tr>
    </w:tbl>
    <w:p>
      <w:pPr>
        <w:pStyle w:val="BodyText"/>
        <w:spacing w:after="120"/>
      </w:pPr>
    </w:p>
    <w:p>
      <w:pPr>
        <w:pStyle w:val="Heading2"/>
      </w:pPr>
      <w:r>
        <w:rPr>
          <w:rFonts w:ascii="Tajawal" w:hAnsi="Tajawal" w:cs="Tajawal" w:eastAsia="Tajawal"/>
        </w:rPr>
        <w:t xml:space="preserve">14. MVP Readiness Checklist</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Readiness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Minimum Required Before Controlled Production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Identity and access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and Administrator scopes enforced; no hidden access leakage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Role/function governance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Side menus and APIs both enforce assigned functions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 privacy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Consent, masking, export audit, retention, and sharing rules implemented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state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customer, procurement, sales, AP/AR, finance, and reporting transitions tested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Event creation, retry, failure, and recovery paths tested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Export, print, role filtering, and sensitive-field masking tested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Feature flags, sandbox/stubs, credential readiness, and fallback paths documented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schedule, restore test, and production/backup distinction documented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Health checks, logs, alert owners, and incident route active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app</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Regression against web portal behavior completed</w:t>
            </w:r>
          </w:p>
        </w:tc>
      </w:tr>
    </w:tbl>
    <w:p>
      <w:pPr>
        <w:pStyle w:val="BodyText"/>
        <w:spacing w:after="120"/>
      </w:pPr>
    </w:p>
    <w:p>
      <w:pPr>
        <w:pStyle w:val="Heading2"/>
      </w:pPr>
      <w:r>
        <w:rPr>
          <w:rFonts w:ascii="Tajawal" w:hAnsi="Tajawal" w:cs="Tajawal" w:eastAsia="Tajawal"/>
        </w:rPr>
        <w:t xml:space="preserve">15. QA And Validation Handover</w:t>
      </w:r>
    </w:p>
    <w:p>
      <w:pPr>
        <w:pStyle w:val="BodyText"/>
      </w:pPr>
      <w:r>
        <w:rPr>
          <w:rFonts w:ascii="Tajawal" w:hAnsi="Tajawal" w:cs="Tajawal" w:eastAsia="Tajawal"/>
        </w:rPr>
        <w:t xml:space="preserve">The next team should not rely only on visual UAT. The system requires layered validation covering functionality, API behavior, workflow state, permissions, privacy, integrations, reports, and operational readiness.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Test Layer</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Coverage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Role-based journeys for Supplier, Customer, Internal, Administrator, and System Owner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Request/response accuracy, validation, authorization, errors, and idempotency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Status transitions, approval paths, rejection, return, hold, suspend, and delete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Negative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Invalid input, unauthorized access, missing reason, missing consent, failed dependencies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Asynchronous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Outbox, worker, notification retry, dead-letter, delayed update, callback</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Drilldown consistency, export data, role filtering, masked fields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Access control, direct route/API attempt, sensitive data exposure, export leakage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Route behavior, menus, dropdowns, watermark, buttons, and parity with web</w:t>
            </w:r>
          </w:p>
        </w:tc>
      </w:tr>
    </w:tbl>
    <w:p>
      <w:pPr>
        <w:pStyle w:val="BodyText"/>
        <w:spacing w:after="120"/>
      </w:pPr>
    </w:p>
    <w:p>
      <w:pPr>
        <w:pStyle w:val="Heading2"/>
      </w:pPr>
      <w:r>
        <w:rPr>
          <w:rFonts w:ascii="Tajawal" w:hAnsi="Tajawal" w:cs="Tajawal" w:eastAsia="Tajawal"/>
        </w:rPr>
        <w:t xml:space="preserve">16. Risk Register</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Risk</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Severity</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Likelihood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Mitigation</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Lender disintermediation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Partnerships / Legal</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Non-circumvention, case APIs, minimum data sharing</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Privacy non-compliance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Compliance / CTO</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Consent, masking, audit, retention, legal review</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credential activation changes MVP scope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CTO / Finance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Feature flags, staging simulator, integration runbook</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Fawry/Paymob activation changes MVP scope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CTO / Finance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Adapters, sandbox tests, reconciliation controls</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misconfiguration exposes functions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 / Administrator Governance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policy enforcement and access testing</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app lag behind web fixes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Frontend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Shared shell regression and desktop rebuild gate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exposes sensitive data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 Compliance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 filters, masking, export logs, watermarking</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Incomplete backup/restore proof</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Low-Medium</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Infrastructure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 before production approval</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Broad launch before stabilization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Steering Committee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MVP and go/no-go gates</w:t>
            </w:r>
          </w:p>
        </w:tc>
      </w:tr>
    </w:tbl>
    <w:p>
      <w:pPr>
        <w:pStyle w:val="BodyText"/>
        <w:spacing w:after="120"/>
      </w:pPr>
    </w:p>
    <w:p>
      <w:pPr>
        <w:pStyle w:val="Heading2"/>
      </w:pPr>
      <w:r>
        <w:rPr>
          <w:rFonts w:ascii="Tajawal" w:hAnsi="Tajawal" w:cs="Tajawal" w:eastAsia="Tajawal"/>
        </w:rPr>
        <w:t xml:space="preserve">17. CTO Implementation Backlog</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Workstream</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Deliverable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Success Signal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Privacy and consent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Immediate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Consent model, notices, masking, export audit, retention matrix</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Every third-party share has lawful basis and audit trail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Role/function governance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Immediate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Backend-enforced function policy and menu governance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UI and API rules match</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 boundary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Immediate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ETA/lender/payment adapters behind gateway and feature flags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third party has raw database or unrestricted document access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monitoring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Immediate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Health checks, structured logs, alerts, incident runbook</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incidents can be detected and triaged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and restore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Immediate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schedule, restore drill, DR decision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test passed before go-live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hardening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Immediate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State transition validation across core journeys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invalid state transition accepted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governance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Near term</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Export audit, filters, masking, PDF/Excel controls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 align with role and data classification</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 partner pilot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Near term</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Lender handoff, offer capture, status return, SLA reporting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End-to-end finance case can be traced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Credit scoring foundation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 controlled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Score input model, rules versioning, risk bands, explainability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Score record is auditable and not a black box</w:t>
            </w:r>
          </w:p>
        </w:tc>
      </w:tr>
    </w:tbl>
    <w:p>
      <w:pPr>
        <w:pStyle w:val="BodyText"/>
        <w:spacing w:after="120"/>
      </w:pPr>
    </w:p>
    <w:p>
      <w:pPr>
        <w:pStyle w:val="Heading2"/>
      </w:pPr>
      <w:r>
        <w:rPr>
          <w:rFonts w:ascii="Tajawal" w:hAnsi="Tajawal" w:cs="Tajawal" w:eastAsia="Tajawal"/>
        </w:rPr>
        <w:t xml:space="preserve">18. Management Decisions Required</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Decision</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Recommended Decision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Free ERP posture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 targeted free/low-friction ERP as acquisition wedge, not universal free software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exposure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 partner-funded Islamic finance for stages 1 and 2</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Lender data boundary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 minimum necessary case-based sharing and no raw ERP bulk access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scope discipline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 controlled production MVP before wider rollout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Third-party uncertainty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Explicitly keep ETA, e-invoicing, Fawry, and Paymob as conditional go-live uncertainty paths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Privacy governance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Assign owner for privacy notices, consent, retention, and incident response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ownership</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Assign production incident, backup, monitoring, deployment, and release owners</w:t>
            </w:r>
          </w:p>
        </w:tc>
      </w:tr>
    </w:tbl>
    <w:p>
      <w:pPr>
        <w:pStyle w:val="BodyText"/>
        <w:spacing w:after="120"/>
      </w:pPr>
    </w:p>
    <w:p>
      <w:pPr>
        <w:pStyle w:val="Heading2"/>
      </w:pPr>
      <w:r>
        <w:rPr>
          <w:rFonts w:ascii="Tajawal" w:hAnsi="Tajawal" w:cs="Tajawal" w:eastAsia="Tajawal"/>
        </w:rPr>
        <w:t xml:space="preserve">19. CTO Conclusion</w:t>
      </w:r>
    </w:p>
    <w:p>
      <w:pPr>
        <w:pStyle w:val="BodyText"/>
      </w:pPr>
      <w:r>
        <w:rPr>
          <w:rFonts w:ascii="Tajawal" w:hAnsi="Tajawal" w:cs="Tajawal" w:eastAsia="Tajawal"/>
        </w:rPr>
        <w:t xml:space="preserve">CashLine Egypt has a credible strategy and a strong enough system foundation to continue toward a controlled production MVP. The platform is commercially stronger when positioned as an operating-data and finance-orchestration platform rather than a generic ERP. The main CTO concern is not whether the model is attractive; it is whether CashLine maintains strict control over customer ownership, data privacy, third-party sharing, role governance, production operations, and integration boundaries.</w:t>
      </w:r>
    </w:p>
    <w:p>
      <w:pPr>
        <w:pStyle w:val="BodyText"/>
      </w:pPr>
      <w:r>
        <w:rPr>
          <w:rFonts w:ascii="Tajawal" w:hAnsi="Tajawal" w:cs="Tajawal" w:eastAsia="Tajawal"/>
        </w:rPr>
        <w:t xml:space="preserve">The recommended go-live posture is controlled production MVP, not broad production rollout. The platform should proceed only after access governance, data privacy, backup/restore, monitoring, reporting controls, desktop parity, workflow state validation, and third-party feature flags are verified.</w:t>
      </w:r>
    </w:p>
    <w:p>
      <w:pPr>
        <w:pStyle w:val="Heading2"/>
      </w:pPr>
      <w:r>
        <w:rPr>
          <w:rFonts w:ascii="Tajawal" w:hAnsi="Tajawal" w:cs="Tajawal" w:eastAsia="Tajawal"/>
        </w:rPr>
        <w:t xml:space="preserve">20. References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Reference</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Use In This Handover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Egypt Personal Data Protection Law No. 151 of 2020</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Privacy, controller/processor, personal data governance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Egypt Law No. 5 of 2022 for fintech in non-bank financial activities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Digital finance, fintech operating model, regulated partner context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eInvoicing SDK - ERP Receive Document Notifications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event callback, idempotency, document status integration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eReceipt SDK - ERP Receive Receipt Notifications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Receipt callback, internet-visible HTTPS endpoint requirements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eReceipt SDK - ERP Receive General Notifications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General callback and POS/device event integration considerations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ERP BRD/FRD/PRD baseline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functional, product, and MVP scope alignment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MVP Production Deployment Plan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Environment, deployment, staging, controlled production, stabilization, wider rollout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Hosting and Cost Strategy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backup, production/backup distinction, cost strategy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Full Project Management Plan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WBS, CPM, charter, testing, deployment, risk, and governance</w:t>
            </w:r>
          </w:p>
        </w:tc>
      </w:tr>
    </w:tbl>
    <w:p>
      <w:pPr>
        <w:pStyle w:val="BodyText"/>
        <w:spacing w:after="120"/>
      </w:pPr>
    </w:p>
    <w:sectPr>
      <w:headerReference w:type="default" r:id="rIdHeader1"/>
      <w:footerReference w:type="default" r:id="rIdFooter1"/>
      <w:pgSz w:w="11906" w:h="16838"/>
      <w:pgMar w:top="1134" w:right="1008" w:bottom="1134" w:left="1008" w:header="567" w:footer="567" w:gutter="0"/>
      <w:cols w:space="708"/>
    </w:sectPr>
  </w:body>
</w:document>
</file>

<file path=word/footer1.xml><?xml version="1.0" encoding="utf-8"?>
<w:ftr xmlns:w="http://schemas.openxmlformats.org/wordprocessingml/2006/main" xmlns:r="http://schemas.openxmlformats.org/officeDocument/2006/relationships">
  <w:p>
    <w:pPr>
      <w:jc w:val="center"/>
      <w:pBdr>
        <w:top w:val="single" w:sz="4" w:space="2" w:color="E7D6C8"/>
      </w:pBdr>
    </w:pPr>
    <w:r>
      <w:rPr>
        <w:rFonts w:ascii="Tajawal" w:hAnsi="Tajawal" w:cs="Tajawal" w:eastAsia="Tajawal"/>
        <w:color w:val="6B7280"/>
        <w:sz w:val="16"/>
        <w:szCs w:val="16"/>
      </w:rPr>
      <w:t xml:space="preserve">Confidential - CashLine ERP Governance Deliverable  |  Page </w:t>
    </w:r>
    <w:r>
      <w:fldChar w:fldCharType="begin"/>
    </w:r>
    <w:r>
      <w:instrText xml:space="preserve"> PAGE </w:instrText>
    </w:r>
    <w:r>
      <w:fldChar w:fldCharType="separate"/>
    </w:r>
    <w:r>
      <w:t>1</w:t>
    </w:r>
    <w:r>
      <w:fldChar w:fldCharType="end"/>
    </w:r>
    <w:r>
      <w:rPr>
        <w:rFonts w:ascii="Tajawal" w:hAnsi="Tajawal" w:cs="Tajawal" w:eastAsia="Tajawal"/>
        <w:color w:val="6B7280"/>
        <w:sz w:val="16"/>
        <w:szCs w:val="16"/>
      </w:rPr>
      <w:t xml:space="preserve"> of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w:p>
    <w:pPr>
      <w:jc w:val="both"/>
      <w:pBdr>
        <w:bottom w:val="single" w:sz="8" w:space="2" w:color="A94F18"/>
      </w:pBdr>
    </w:pPr>
    <w:r>
      <w:rPr>
        <w:rFonts w:ascii="Tajawal" w:hAnsi="Tajawal" w:cs="Tajawal" w:eastAsia="Tajawal"/>
        <w:b/>
        <w:bCs/>
        <w:color w:val="7A3512"/>
        <w:sz w:val="20"/>
        <w:szCs w:val="20"/>
      </w:rPr>
      <w:t>CashLine ERP</w:t>
    </w:r>
    <w:r>
      <w:rPr>
        <w:rFonts w:ascii="Tajawal" w:hAnsi="Tajawal" w:cs="Tajawal" w:eastAsia="Tajawal"/>
        <w:color w:val="6B7280"/>
        <w:sz w:val="18"/>
        <w:szCs w:val="18"/>
      </w:rPr>
      <w:t xml:space="preserve">  |  Egypt CTO Handover Pack</w:t>
    </w:r>
  </w:p>
</w:hdr>
</file>

<file path=word/settings.xml><?xml version="1.0" encoding="utf-8"?>
<w:settings xmlns:w="http://schemas.openxmlformats.org/wordprocessingml/2006/main">
  <w:updateFields w:val="true"/>
  <w:defaultTabStop w:val="720"/>
</w:settings>
</file>

<file path=word/styles.xml><?xml version="1.0" encoding="utf-8"?>
<w:styles xmlns:w="http://schemas.openxmlformats.org/wordprocessingml/2006/main">
  <w:docDefaults>
    <w:rPrDefault>
      <w:rPr>
        <w:rFonts w:ascii="Tajawal" w:hAnsi="Tajawal" w:cs="Tajawal" w:eastAsia="Tajawal"/>
        <w:sz w:val="22"/>
        <w:szCs w:val="22"/>
        <w:color w:val="1F2933"/>
      </w:rPr>
    </w:rPrDefault>
    <w:pPrDefault>
      <w:pPr>
        <w:spacing w:after="160" w:line="276" w:lineRule="auto"/>
      </w:pPr>
    </w:pPrDefault>
  </w:docDefaults>
  <w:style w:type="paragraph" w:styleId="Normal">
    <w:name w:val="Normal"/>
    <w:pPr>
      <w:spacing w:after="160" w:line="276" w:lineRule="auto"/>
    </w:pPr>
    <w:rPr>
      <w:rFonts w:ascii="Tajawal" w:hAnsi="Tajawal" w:cs="Tajawal" w:eastAsia="Tajawal"/>
      <w:sz w:val="22"/>
      <w:szCs w:val="22"/>
      <w:color w:val="1F2933"/>
    </w:rPr>
  </w:style>
  <w:style w:type="paragraph" w:styleId="BodyText">
    <w:name w:val="Body Text"/>
    <w:basedOn w:val="Normal"/>
    <w:pPr>
      <w:spacing w:after="160" w:line="276" w:lineRule="auto"/>
    </w:pPr>
    <w:rPr>
      <w:rFonts w:ascii="Tajawal" w:hAnsi="Tajawal" w:cs="Tajawal" w:eastAsia="Tajawal"/>
      <w:sz w:val="22"/>
      <w:szCs w:val="22"/>
      <w:color w:val="1F2933"/>
    </w:rPr>
  </w:style>
  <w:style w:type="paragraph" w:styleId="BrandMark">
    <w:name w:val="Brand Mark"/>
    <w:basedOn w:val="Normal"/>
    <w:pPr>
      <w:spacing w:before="320" w:after="160"/>
    </w:pPr>
    <w:rPr>
      <w:rFonts w:ascii="Tajawal" w:hAnsi="Tajawal" w:cs="Tajawal"/>
      <w:b/>
      <w:color w:val="7A3512"/>
      <w:sz w:val="34"/>
      <w:szCs w:val="34"/>
    </w:rPr>
  </w:style>
  <w:style w:type="paragraph" w:styleId="CoverTitle">
    <w:name w:val="Cover Title"/>
    <w:basedOn w:val="Normal"/>
    <w:pPr>
      <w:spacing w:before="420" w:after="180"/>
    </w:pPr>
    <w:rPr>
      <w:rFonts w:ascii="Tajawal" w:hAnsi="Tajawal" w:cs="Tajawal"/>
      <w:b/>
      <w:color w:val="1F2933"/>
      <w:sz w:val="44"/>
      <w:szCs w:val="44"/>
    </w:rPr>
  </w:style>
  <w:style w:type="paragraph" w:styleId="CoverSubtitle">
    <w:name w:val="Cover Subtitle"/>
    <w:basedOn w:val="Normal"/>
    <w:pPr>
      <w:spacing w:after="280"/>
    </w:pPr>
    <w:rPr>
      <w:rFonts w:ascii="Tajawal" w:hAnsi="Tajawal" w:cs="Tajawal"/>
      <w:color w:val="6B7280"/>
      <w:sz w:val="24"/>
      <w:szCs w:val="24"/>
    </w:rPr>
  </w:style>
  <w:style w:type="paragraph" w:styleId="Heading1">
    <w:name w:val="Heading 1"/>
    <w:basedOn w:val="Normal"/>
    <w:pPr>
      <w:keepNext/>
      <w:spacing w:before="420" w:after="180"/>
      <w:pBdr>
        <w:bottom w:val="single" w:sz="8" w:space="4" w:color="A94F18"/>
      </w:pBdr>
    </w:pPr>
    <w:rPr>
      <w:rFonts w:ascii="Tajawal" w:hAnsi="Tajawal" w:cs="Tajawal"/>
      <w:b/>
      <w:color w:val="7A3512"/>
      <w:sz w:val="30"/>
      <w:szCs w:val="30"/>
    </w:rPr>
  </w:style>
  <w:style w:type="paragraph" w:styleId="Heading2">
    <w:name w:val="Heading 2"/>
    <w:basedOn w:val="Normal"/>
    <w:pPr>
      <w:keepNext/>
      <w:spacing w:before="320" w:after="140"/>
    </w:pPr>
    <w:rPr>
      <w:rFonts w:ascii="Tajawal" w:hAnsi="Tajawal" w:cs="Tajawal"/>
      <w:b/>
      <w:color w:val="1F2933"/>
      <w:sz w:val="26"/>
      <w:szCs w:val="26"/>
    </w:rPr>
  </w:style>
  <w:style w:type="paragraph" w:styleId="Heading3">
    <w:name w:val="Heading 3"/>
    <w:basedOn w:val="Normal"/>
    <w:pPr>
      <w:keepNext/>
      <w:spacing w:before="220" w:after="100"/>
    </w:pPr>
    <w:rPr>
      <w:rFonts w:ascii="Tajawal" w:hAnsi="Tajawal" w:cs="Tajawal"/>
      <w:b/>
      <w:color w:val="A94F18"/>
      <w:sz w:val="23"/>
      <w:szCs w:val="23"/>
    </w:rPr>
  </w:style>
  <w:style w:type="paragraph" w:styleId="ListParagraph">
    <w:name w:val="List Paragraph"/>
    <w:basedOn w:val="Normal"/>
    <w:pPr>
      <w:ind w:left="360" w:hanging="180"/>
      <w:spacing w:after="80" w:line="260" w:lineRule="auto"/>
    </w:pPr>
    <w:rPr>
      <w:rFonts w:ascii="Tajawal" w:hAnsi="Tajawal" w:cs="Tajawal" w:eastAsia="Tajawal"/>
      <w:sz w:val="22"/>
      <w:szCs w:val="22"/>
      <w:color w:val="1F2933"/>
    </w:rPr>
  </w:style>
  <w:style w:type="paragraph" w:styleId="TableText">
    <w:name w:val="Table Text"/>
    <w:basedOn w:val="Normal"/>
    <w:pPr>
      <w:spacing w:after="40" w:line="240" w:lineRule="auto"/>
    </w:pPr>
    <w:rPr>
      <w:rFonts w:ascii="Tajawal" w:hAnsi="Tajawal" w:cs="Tajawal"/>
      <w:sz w:val="18"/>
      <w:szCs w:val="18"/>
      <w:color w:val="1F2933"/>
    </w:rPr>
  </w:style>
  <w:style w:type="paragraph" w:styleId="Caption">
    <w:name w:val="Caption"/>
    <w:basedOn w:val="Normal"/>
    <w:pPr>
      <w:spacing w:before="160" w:after="120"/>
    </w:pPr>
    <w:rPr>
      <w:rFonts w:ascii="Tajawal" w:hAnsi="Tajawal" w:cs="Tajawal"/>
      <w:i/>
      <w:color w:val="6B7280"/>
      <w:sz w:val="18"/>
      <w:szCs w:val="18"/>
    </w:rPr>
  </w:style>
  <w:style w:type="paragraph" w:styleId="Callout">
    <w:name w:val="Callout"/>
    <w:basedOn w:val="Normal"/>
    <w:pPr>
      <w:spacing w:before="160" w:after="80"/>
      <w:shd w:fill="FFF3EA"/>
      <w:pBdr>
        <w:left w:val="single" w:sz="12" w:space="6" w:color="A94F18"/>
      </w:pBdr>
    </w:pPr>
    <w:rPr>
      <w:rFonts w:ascii="Tajawal" w:hAnsi="Tajawal" w:cs="Tajawal"/>
      <w:b/>
      <w:color w:val="7A3512"/>
      <w:sz w:val="21"/>
      <w:szCs w:val="21"/>
    </w:rPr>
  </w:style>
  <w:style w:type="table" w:styleId="CashLineTable">
    <w:name w:val="CashLine Table"/>
    <w:tblPr>
      <w:tblCellMar>
        <w:top w:w="90" w:type="dxa"/>
        <w:left w:w="110" w:type="dxa"/>
        <w:bottom w:w="90" w:type="dxa"/>
        <w:right w:w="110" w:type="dxa"/>
      </w:tblCellMar>
    </w:tblPr>
  </w:style>
</w:styles>
</file>

<file path=word/_rels/document.xml.rels><?xml version="1.0" encoding="UTF-8" standalone="yes"?>
<Relationships xmlns="http://schemas.openxmlformats.org/package/2006/relationships">
  <Relationship Id="rIdStyles" Type="http://schemas.openxmlformats.org/officeDocument/2006/relationships/styles" Target="styles.xml"/>
  <Relationship Id="rIdSettings" Type="http://schemas.openxmlformats.org/officeDocument/2006/relationships/settings" Target="settings.xml"/>
  <Relationship Id="rIdHeader1" Type="http://schemas.openxmlformats.org/officeDocument/2006/relationships/header" Target="header1.xml"/>
  <Relationship Id="rIdFooter1"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Application>CashLine ERP Document Generator</Application>
  <DocSecurity>0</DocSecurity>
  <ScaleCrop>false</ScaleCrop>
  <Company>CashLine ERP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CashLine Egypt CTO Handover Pack</dc:title>
  <dc:creator>Codex</dc:creator>
  <cp:lastModifiedBy>Codex</cp:lastModifiedBy>
  <dcterms:created xsi:type="dcterms:W3CDTF">2026-04-20T20:36:23Z</dcterms:created>
  <dcterms:modified xsi:type="dcterms:W3CDTF">2026-04-20T20:36:23Z</dcterms:modified>
</cp:coreProperties>
</file>