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pStyle w:val="BrandMark"/>
        <w:jc w:val="center"/>
      </w:pPr>
      <w:r>
        <w:rPr>
          <w:rFonts w:ascii="Tajawal" w:hAnsi="Tajawal" w:cs="Tajawal" w:eastAsia="Tajawal"/>
        </w:rPr>
        <w:t xml:space="preserve">CashLine ERP</w:t>
      </w:r>
    </w:p>
    <w:p>
      <w:pPr>
        <w:pBdr>
          <w:bottom w:val="single" w:sz="12" w:space="1" w:color="A94F18"/>
        </w:pBdr>
        <w:spacing w:after="240"/>
      </w:pPr>
    </w:p>
    <w:p>
      <w:pPr>
        <w:pStyle w:val="CoverTitle"/>
        <w:jc w:val="center"/>
      </w:pPr>
      <w:r>
        <w:rPr>
          <w:rFonts w:ascii="Tajawal" w:hAnsi="Tajawal" w:cs="Tajawal" w:eastAsia="Tajawal"/>
        </w:rPr>
        <w:t xml:space="preserve">Hosting And Cost Strategy</w:t>
      </w:r>
    </w:p>
    <w:p>
      <w:pPr>
        <w:pStyle w:val="CoverSubtitle"/>
        <w:jc w:val="center"/>
      </w:pPr>
      <w:r>
        <w:rPr>
          <w:rFonts w:ascii="Tajawal" w:hAnsi="Tajawal" w:cs="Tajawal" w:eastAsia="Tajawal"/>
        </w:rPr>
        <w:t xml:space="preserve">Cloudflare Pages / DNS / WAF -&gt; Azure App Service or Azure Container Apps -&gt; Azure SQL Database -&gt; Azure Blob Storage -&gt; Azure Monitor</w:t>
      </w:r>
    </w:p>
    <w:p>
      <w:pPr>
        <w:pStyle w:val="BodyText"/>
        <w:spacing w:after="360"/>
      </w:pP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Document 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Branded Executive Deliverable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Redesigned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2026-04-24</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Prepared For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owners, product owners, implementation leads, engineering, infrastructure, security, operations, finance, and release governance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Estimated Monthly Cost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Lean MVP: $80 - $250 | Production-comfortable MVP: $250 - $600</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Typography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Tajawal</w:t>
            </w:r>
          </w:p>
        </w:tc>
      </w:tr>
    </w:tbl>
    <w:p>
      <w:pPr>
        <w:pStyle w:val="BodyText"/>
        <w:spacing w:after="120"/>
      </w:pPr>
    </w:p>
    <w:p>
      <w:pPr>
        <w:pStyle w:val="Caption"/>
        <w:jc w:val="center"/>
      </w:pPr>
      <w:r>
        <w:rPr>
          <w:rFonts w:ascii="Tajawal" w:hAnsi="Tajawal" w:cs="Tajawal" w:eastAsia="Tajawal"/>
        </w:rPr>
        <w:t xml:space="preserve">Confidential - Prepared for CashLine ERP MVP hosting, cost planning, and production governance.</w:t>
      </w:r>
    </w:p>
    <w:p>
      <w:r>
        <w:br w:type="page"/>
      </w:r>
    </w:p>
    <w:p>
      <w:pPr>
        <w:pStyle w:val="Heading1"/>
      </w:pPr>
      <w:r>
        <w:rPr>
          <w:rFonts w:ascii="Tajawal" w:hAnsi="Tajawal" w:cs="Tajawal" w:eastAsia="Tajawal"/>
        </w:rPr>
        <w:t xml:space="preserve">Document Control</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Control Item</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Purpose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 the recommended cost-efficient and reliable hosting strategy for CashLine ERP controlled production MVP.</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Frontend hosting, DNS/WAF, backend hosting, database, storage, monitoring, security, staging, production, cost estimation, and scale path.</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Primary Audience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owners, finance, infrastructure, implementation leads, engineering, security, operations, and release approvers.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Target Stack</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 / DNS / WAF -&gt; Azure App Service or Azure Container Apps -&gt; Azure SQL Database -&gt; Azure Blob Storage -&gt; Azure Monitor</w:t>
            </w:r>
          </w:p>
        </w:tc>
      </w:tr>
    </w:tbl>
    <w:p>
      <w:pPr>
        <w:pStyle w:val="BodyText"/>
        <w:spacing w:after="120"/>
      </w:pPr>
    </w:p>
    <w:p>
      <w:r>
        <w:br w:type="page"/>
      </w:r>
    </w:p>
    <w:p>
      <w:pPr>
        <w:pStyle w:val="Heading2"/>
      </w:pPr>
      <w:r>
        <w:rPr>
          <w:rFonts w:ascii="Tajawal" w:hAnsi="Tajawal" w:cs="Tajawal" w:eastAsia="Tajawal"/>
        </w:rPr>
        <w:t xml:space="preserve">1. Executive Summary</w:t>
      </w:r>
    </w:p>
    <w:p>
      <w:pPr>
        <w:pStyle w:val="BodyText"/>
      </w:pPr>
      <w:r>
        <w:rPr>
          <w:rFonts w:ascii="Tajawal" w:hAnsi="Tajawal" w:cs="Tajawal" w:eastAsia="Tajawal"/>
        </w:rPr>
        <w:t xml:space="preserve">CashLine ERP V1 should use a cost-efficient but production-credible hosting model. The recommended MVP strategy is a hybrid Cloudflare and Azure setup. This combines low-cost global frontend delivery through Cloudflare with enterprise-grade backend, database, storage, monitoring, and governance capabilities through Azure.</w:t>
      </w:r>
    </w:p>
    <w:p>
      <w:pPr>
        <w:pStyle w:val="BodyText"/>
      </w:pPr>
      <w:r>
        <w:rPr>
          <w:rFonts w:ascii="Tajawal" w:hAnsi="Tajawal" w:cs="Tajawal" w:eastAsia="Tajawal"/>
        </w:rPr>
        <w:t xml:space="preserve">This approach is better suited to CashLine than a purely hobby-style hosting stack because the platform includes ERP workflows, user governance, role-based access, audit trails, reporting, document handling, desktop parity, and future finance/compliance requirements.</w:t>
      </w:r>
    </w:p>
    <w:p>
      <w:pPr>
        <w:pStyle w:val="Callout"/>
      </w:pPr>
      <w:r>
        <w:rPr>
          <w:rFonts w:ascii="Tajawal" w:hAnsi="Tajawal" w:cs="Tajawal" w:eastAsia="Tajawal"/>
        </w:rPr>
        <w:t xml:space="preserve">The recommended model is:</w:t>
      </w:r>
    </w:p>
    <w:p>
      <w:pPr>
        <w:pStyle w:val="BodyText"/>
      </w:pPr>
      <w:r>
        <w:rPr>
          <w:rFonts w:ascii="Tajawal" w:hAnsi="Tajawal" w:cs="Tajawal" w:eastAsia="Tajawal"/>
          <w:b/>
          <w:bCs/>
        </w:rPr>
        <w:t xml:space="preserve">Cloudflare Pages / DNS / WAF -&gt; Azure App Service or Azure Container Apps -&gt; Azure SQL Database -&gt; Azure Blob Storage -&gt; Azure Monitor</w:t>
      </w:r>
    </w:p>
    <w:p>
      <w:pPr>
        <w:pStyle w:val="Callout"/>
      </w:pPr>
      <w:r>
        <w:rPr>
          <w:rFonts w:ascii="Tajawal" w:hAnsi="Tajawal" w:cs="Tajawal" w:eastAsia="Tajawal"/>
        </w:rPr>
        <w:t xml:space="preserve">Explicit scope change:</w:t>
      </w:r>
    </w:p>
    <w:p>
      <w:pPr>
        <w:pStyle w:val="BodyText"/>
      </w:pPr>
      <w:r>
        <w:rPr>
          <w:rFonts w:ascii="Tajawal" w:hAnsi="Tajawal" w:cs="Tajawal" w:eastAsia="Tajawal"/>
        </w:rPr>
        <w:t xml:space="preserve">The hosting and cost baseline now also covers the new </w:t>
      </w:r>
      <w:r>
        <w:rPr>
          <w:rFonts w:ascii="Tajawal" w:hAnsi="Tajawal" w:cs="Tajawal" w:eastAsia="Tajawal"/>
          <w:color w:val="7A3512"/>
          <w:sz w:val="20"/>
          <w:szCs w:val="20"/>
        </w:rPr>
        <w:t xml:space="preserve">ACCOUNTING_OFFICE</w:t>
      </w:r>
      <w:r>
        <w:rPr>
          <w:rFonts w:ascii="Tajawal" w:hAnsi="Tajawal" w:cs="Tajawal" w:eastAsia="Tajawal"/>
        </w:rPr>
        <w:t xml:space="preserve"> module. This does not require a separate technology stack for MVP, but it does increase the importance of:</w:t>
      </w:r>
    </w:p>
    <w:p>
      <w:pPr>
        <w:pStyle w:val="ListParagraph"/>
      </w:pPr>
      <w:r>
        <w:rPr>
          <w:rFonts w:ascii="Tajawal" w:hAnsi="Tajawal" w:cs="Tajawal" w:eastAsia="Tajawal"/>
          <w:color w:val="7A3512"/>
          <w:sz w:val="22"/>
          <w:szCs w:val="22"/>
        </w:rPr>
        <w:t>• </w:t>
      </w:r>
      <w:r>
        <w:rPr>
          <w:rFonts w:ascii="Tajawal" w:hAnsi="Tajawal" w:cs="Tajawal" w:eastAsia="Tajawal"/>
        </w:rPr>
        <w:t xml:space="preserve">role-based access segregation for accounting-office users</w:t>
      </w:r>
    </w:p>
    <w:p>
      <w:pPr>
        <w:pStyle w:val="ListParagraph"/>
      </w:pPr>
      <w:r>
        <w:rPr>
          <w:rFonts w:ascii="Tajawal" w:hAnsi="Tajawal" w:cs="Tajawal" w:eastAsia="Tajawal"/>
          <w:color w:val="7A3512"/>
          <w:sz w:val="22"/>
          <w:szCs w:val="22"/>
        </w:rPr>
        <w:t>• </w:t>
      </w:r>
      <w:r>
        <w:rPr>
          <w:rFonts w:ascii="Tajawal" w:hAnsi="Tajawal" w:cs="Tajawal" w:eastAsia="Tajawal"/>
        </w:rPr>
        <w:t xml:space="preserve">controlled office-to-client assignment logic</w:t>
      </w:r>
    </w:p>
    <w:p>
      <w:pPr>
        <w:pStyle w:val="ListParagraph"/>
      </w:pPr>
      <w:r>
        <w:rPr>
          <w:rFonts w:ascii="Tajawal" w:hAnsi="Tajawal" w:cs="Tajawal" w:eastAsia="Tajawal"/>
          <w:color w:val="7A3512"/>
          <w:sz w:val="22"/>
          <w:szCs w:val="22"/>
        </w:rPr>
        <w:t>• </w:t>
      </w:r>
      <w:r>
        <w:rPr>
          <w:rFonts w:ascii="Tajawal" w:hAnsi="Tajawal" w:cs="Tajawal" w:eastAsia="Tajawal"/>
        </w:rPr>
        <w:t xml:space="preserve">stronger audit and reporting traceability</w:t>
      </w:r>
    </w:p>
    <w:p>
      <w:pPr>
        <w:pStyle w:val="ListParagraph"/>
      </w:pPr>
      <w:r>
        <w:rPr>
          <w:rFonts w:ascii="Tajawal" w:hAnsi="Tajawal" w:cs="Tajawal" w:eastAsia="Tajawal"/>
          <w:color w:val="7A3512"/>
          <w:sz w:val="22"/>
          <w:szCs w:val="22"/>
        </w:rPr>
        <w:t>• </w:t>
      </w:r>
      <w:r>
        <w:rPr>
          <w:rFonts w:ascii="Tajawal" w:hAnsi="Tajawal" w:cs="Tajawal" w:eastAsia="Tajawal"/>
        </w:rPr>
        <w:t xml:space="preserve">ETA and government-submission credential and secret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slightly higher expected document, report-export, log, and notification volume</w:t>
      </w:r>
    </w:p>
    <w:p>
      <w:pPr>
        <w:pStyle w:val="Heading2"/>
      </w:pPr>
      <w:r>
        <w:rPr>
          <w:rFonts w:ascii="Tajawal" w:hAnsi="Tajawal" w:cs="Tajawal" w:eastAsia="Tajawal"/>
        </w:rPr>
        <w:t xml:space="preserve">2. Recommended MVP Hosting Stack</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Layer</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Recommended Option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Purpose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Why Recommended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Web frontend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 public portal, authenticated shell, static assets, and branded documentation pages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Very low cost, global CDN, automatic HTTPS, fast deployment, strong static hosting</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DNS, CDN, WAF</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Domain, SSL, caching, edge protection, basic WAF and traffic control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Cost-efficient protection and performance at the edge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API</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App Service or Azure Container Apps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 backend APIs, workflow endpoints, auth/session logic, reporting APIs, and business services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Stronger enterprise fit for .NET/API workloads, managed runtime, staging support, scaling path</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Database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relational database for users, roles, workflows, transactions, audit, reporting, and configuration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Best fit for the current SQL Server-aligned production path</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Documents/files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Blob Storage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Store KYC documents, generated exports, report files, and operational attachments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Reliable object storage with access controls and lifecycle management</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Application Insights and Azure Monitor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Logs, traces, exceptions, performance, alerting, and production diagnostics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for MVP hypercare and production readiness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Secrets/configuration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App Configuration or Key Vault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Store secrets, credentials, connection strings, and environment settings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Better security than hardcoded or manually managed secrets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backup and storage backup policies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Point-in-time restore, backup evidence, and rollback support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for controlled production deployment</w:t>
            </w:r>
          </w:p>
        </w:tc>
      </w:tr>
    </w:tbl>
    <w:p>
      <w:pPr>
        <w:pStyle w:val="BodyText"/>
        <w:spacing w:after="120"/>
      </w:pPr>
    </w:p>
    <w:p>
      <w:pPr>
        <w:pStyle w:val="Heading2"/>
      </w:pPr>
      <w:r>
        <w:rPr>
          <w:rFonts w:ascii="Tajawal" w:hAnsi="Tajawal" w:cs="Tajawal" w:eastAsia="Tajawal"/>
        </w:rPr>
        <w:t xml:space="preserve">2.1 ACCOUNTING_OFFICE Module Hosting Impact</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Area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Hosting Impact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Recommendation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Authentication and access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More governed user identities and role checks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Reuse the same backend/auth stack; enforce strict role and function segregation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More users, assignments, office/client linkage, and audit events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Azure SQL as the core store; size with modest headroom</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Storage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More office/client documents and export files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Azure Blob Storage with lifecycle and retention controls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More submission, reporting, and access events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Add dashboard filters and alerts for accounting-office actions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Secrets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Potential ETA/government credentials and submission context settings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Store in Key Vault or approved secret store, not in application code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Networking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separate MVP network tier required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current Cloudflare + Azure pattern and harden callbacks/endpoints if enabled</w:t>
            </w:r>
          </w:p>
        </w:tc>
      </w:tr>
    </w:tbl>
    <w:p>
      <w:pPr>
        <w:pStyle w:val="BodyText"/>
        <w:spacing w:after="120"/>
      </w:pPr>
    </w:p>
    <w:p>
      <w:pPr>
        <w:pStyle w:val="Heading2"/>
      </w:pPr>
      <w:r>
        <w:rPr>
          <w:rFonts w:ascii="Tajawal" w:hAnsi="Tajawal" w:cs="Tajawal" w:eastAsia="Tajawal"/>
        </w:rPr>
        <w:t xml:space="preserve">3. Recommended Environment Layout</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Environment</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Hosting Approach</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Data Type</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Cost Strategy</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Local development plus optional low-cost Cloudflare/Azure preview</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Synthetic development data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minimal and avoid always-on cloud resources where possible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QA/System Test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Small backend instance and small database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test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low-tier resources and scheduled shutdown where possible</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Staging/Pre-production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Same architecture as production, smaller size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Sanitized or approved test data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Mirror production behavior while keeping compute/database smaller</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MVP</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 Azure backend + Azure SQL + Blob Storage + monitoring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Real production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Start modestly, monitor, then scale based on actual load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Same architecture with scaled compute/database and stronger resilience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Real production data</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Upgrade after MVP stability and usage patterns are proven</w:t>
            </w:r>
          </w:p>
        </w:tc>
      </w:tr>
    </w:tbl>
    <w:p>
      <w:pPr>
        <w:pStyle w:val="BodyText"/>
        <w:spacing w:after="120"/>
      </w:pPr>
    </w:p>
    <w:p>
      <w:pPr>
        <w:pStyle w:val="Heading2"/>
      </w:pPr>
      <w:r>
        <w:rPr>
          <w:rFonts w:ascii="Tajawal" w:hAnsi="Tajawal" w:cs="Tajawal" w:eastAsia="Tajawal"/>
        </w:rPr>
        <w:t xml:space="preserve">4. Recommended Target Architecture</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Component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Recommendation</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Later Scale Recommendation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Frontend hosting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 with stricter WAF, caching rules, custom access policies, and deployment approvals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hosting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App Service Basic/Standard or Azure Container Apps low tier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 Service Premium or Container Apps autoscaling with private networking</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Basic/S0/serverless or low vCore tier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Higher Azure SQL tier, zone redundancy, longer backup retention, read replicas or reporting replica if needed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Storage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Blob Storage hot tier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Lifecycle rules, archive tier, private endpoints, retention policy</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Application Insights with controlled retention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Centralized logging, dashboards, alert rules, log export, SIEM integration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SSL/WAF + Azure secrets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Private networking, Key Vault, managed identity, advanced WAF, DDoS plan if needed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Manual-approved pipeline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Full CI/CD with approvals, rollback automation, environment promotion gates</w:t>
            </w:r>
          </w:p>
        </w:tc>
      </w:tr>
    </w:tbl>
    <w:p>
      <w:pPr>
        <w:pStyle w:val="BodyText"/>
        <w:spacing w:after="120"/>
      </w:pPr>
    </w:p>
    <w:p>
      <w:pPr>
        <w:pStyle w:val="Heading2"/>
      </w:pPr>
      <w:r>
        <w:rPr>
          <w:rFonts w:ascii="Tajawal" w:hAnsi="Tajawal" w:cs="Tajawal" w:eastAsia="Tajawal"/>
        </w:rPr>
        <w:t xml:space="preserve">5. Cost Estimation</w:t>
      </w:r>
    </w:p>
    <w:p>
      <w:pPr>
        <w:pStyle w:val="BodyText"/>
      </w:pPr>
      <w:r>
        <w:rPr>
          <w:rFonts w:ascii="Tajawal" w:hAnsi="Tajawal" w:cs="Tajawal" w:eastAsia="Tajawal"/>
        </w:rPr>
        <w:t xml:space="preserve">The following estimates are directional planning ranges, not vendor quotes. Final cost depends on selected region, traffic, database size, data retention, support plan, storage volume, log volume, and integration usage.</w:t>
      </w:r>
    </w:p>
    <w:p>
      <w:pPr>
        <w:pStyle w:val="Heading3"/>
      </w:pPr>
      <w:r>
        <w:rPr>
          <w:rFonts w:ascii="Tajawal" w:hAnsi="Tajawal" w:cs="Tajawal" w:eastAsia="Tajawal"/>
        </w:rPr>
        <w:t xml:space="preserve">5.1 Lean Controlled MVP Estimate</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Cost Item</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Recommended Entry Setup</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Estimated Monthly Range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 / DNS / SSL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Free or Pro depending team needs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$0 - $25</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backend API</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Low-tier App Service or small Container Apps setup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$15 - $80</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Database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Basic/S0/serverless or low-tier SQL setup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$120</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Blob Storage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Low-volume documents and exports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$2 - $25</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Monitor / Application Insights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retention and sampling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$5 - $40</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Backups and recovery storage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Built-in plus minimal retained exports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$5 - $30</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Miscellaneous bandwidth/configuration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Low MVP traffic</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$5 - $30</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**Estimated Total**</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**Lean MVP**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**$80 - $250/month**</w:t>
            </w:r>
          </w:p>
        </w:tc>
      </w:tr>
    </w:tbl>
    <w:p>
      <w:pPr>
        <w:pStyle w:val="BodyText"/>
        <w:spacing w:after="120"/>
      </w:pPr>
    </w:p>
    <w:p>
      <w:pPr>
        <w:pStyle w:val="Heading3"/>
      </w:pPr>
      <w:r>
        <w:rPr>
          <w:rFonts w:ascii="Tajawal" w:hAnsi="Tajawal" w:cs="Tajawal" w:eastAsia="Tajawal"/>
        </w:rPr>
        <w:t xml:space="preserve">5.2 Production-Comfortable MVP Estimate</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Cost Item</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Recommended Production-Comfortable Setup</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Estimated Monthly Range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Pro or Business consideration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 for MVP; Business if stronger edge support is required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$20 - $250</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backend API</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Standard App Service or more stable Container Apps allocation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$75 - $200</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Database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Standard/serverless/vCore with better performance headroom</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$75 - $250</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Blob Storage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Documents, exports, backup artifacts, retention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$60</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Monitor / Application Insights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Dashboards, alerts, retention, log search</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$20 - $100</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Backups and recovery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More structured backup retention and restore testing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$20 - $75</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Miscellaneous bandwidth/configuration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Moderate controlled production traffic</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$20 - $75</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**Estimated Total**</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**Production-comfortable MVP**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**$250 - $600/month**</w:t>
            </w:r>
          </w:p>
        </w:tc>
      </w:tr>
    </w:tbl>
    <w:p>
      <w:pPr>
        <w:pStyle w:val="BodyText"/>
        <w:spacing w:after="120"/>
      </w:pPr>
    </w:p>
    <w:p>
      <w:pPr>
        <w:pStyle w:val="Heading3"/>
      </w:pPr>
      <w:r>
        <w:rPr>
          <w:rFonts w:ascii="Tajawal" w:hAnsi="Tajawal" w:cs="Tajawal" w:eastAsia="Tajawal"/>
        </w:rPr>
        <w:t xml:space="preserve">5.3 ACCOUNTING_OFFICE Scope Cost Impact</w:t>
      </w:r>
    </w:p>
    <w:p>
      <w:pPr>
        <w:pStyle w:val="BodyText"/>
      </w:pPr>
      <w:r>
        <w:rPr>
          <w:rFonts w:ascii="Tajawal" w:hAnsi="Tajawal" w:cs="Tajawal" w:eastAsia="Tajawal"/>
        </w:rPr>
        <w:t xml:space="preserve">The new </w:t>
      </w:r>
      <w:r>
        <w:rPr>
          <w:rFonts w:ascii="Tajawal" w:hAnsi="Tajawal" w:cs="Tajawal" w:eastAsia="Tajawal"/>
          <w:color w:val="7A3512"/>
          <w:sz w:val="20"/>
          <w:szCs w:val="20"/>
        </w:rPr>
        <w:t xml:space="preserve">ACCOUNTING_OFFICE</w:t>
      </w:r>
      <w:r>
        <w:rPr>
          <w:rFonts w:ascii="Tajawal" w:hAnsi="Tajawal" w:cs="Tajawal" w:eastAsia="Tajawal"/>
        </w:rPr>
        <w:t xml:space="preserve"> module does not require a separate hosting platform for MVP. It is expected to fit inside the current Cloudflare + Azure recommendation with a modest operational uplift rather than a new cost category.</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Impact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Expected Effect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API/runtime load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Moderate increase due to more governed users and more office/client workflow activity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usage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Moderate increase due to assignment, onboarding, audit, report, and submission records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Blob storage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Moderate increase due to office and client compliance files and generated reports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Monitoring/logging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Moderate increase due to ETA/government submission and delegated-user audit traces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Overall MVP cost posture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Still expected to remain within the current lean and production-comfortable ranges unless usage volume rises materially</w:t>
            </w:r>
          </w:p>
        </w:tc>
      </w:tr>
    </w:tbl>
    <w:p>
      <w:pPr>
        <w:pStyle w:val="BodyText"/>
        <w:spacing w:after="120"/>
      </w:pPr>
    </w:p>
    <w:p>
      <w:pPr>
        <w:pStyle w:val="Heading3"/>
      </w:pPr>
      <w:r>
        <w:rPr>
          <w:rFonts w:ascii="Tajawal" w:hAnsi="Tajawal" w:cs="Tajawal" w:eastAsia="Tajawal"/>
        </w:rPr>
        <w:t xml:space="preserve">5.4 Excluded Costs</w:t>
      </w:r>
    </w:p>
    <w:p>
      <w:pPr>
        <w:pStyle w:val="Callout"/>
      </w:pPr>
      <w:r>
        <w:rPr>
          <w:rFonts w:ascii="Tajawal" w:hAnsi="Tajawal" w:cs="Tajawal" w:eastAsia="Tajawal"/>
        </w:rPr>
        <w:t xml:space="preserve">The estimate excludes:</w:t>
      </w:r>
    </w:p>
    <w:p>
      <w:pPr>
        <w:pStyle w:val="ListParagraph"/>
      </w:pPr>
      <w:r>
        <w:rPr>
          <w:rFonts w:ascii="Tajawal" w:hAnsi="Tajawal" w:cs="Tajawal" w:eastAsia="Tajawal"/>
          <w:color w:val="7A3512"/>
          <w:sz w:val="22"/>
          <w:szCs w:val="22"/>
        </w:rPr>
        <w:t>• </w:t>
      </w:r>
      <w:r>
        <w:rPr>
          <w:rFonts w:ascii="Tajawal" w:hAnsi="Tajawal" w:cs="Tajawal" w:eastAsia="Tajawal"/>
        </w:rPr>
        <w:t xml:space="preserve">SMS provider charges.</w:t>
      </w:r>
    </w:p>
    <w:p>
      <w:pPr>
        <w:pStyle w:val="ListParagraph"/>
      </w:pPr>
      <w:r>
        <w:rPr>
          <w:rFonts w:ascii="Tajawal" w:hAnsi="Tajawal" w:cs="Tajawal" w:eastAsia="Tajawal"/>
          <w:color w:val="7A3512"/>
          <w:sz w:val="22"/>
          <w:szCs w:val="22"/>
        </w:rPr>
        <w:t>• </w:t>
      </w:r>
      <w:r>
        <w:rPr>
          <w:rFonts w:ascii="Tajawal" w:hAnsi="Tajawal" w:cs="Tajawal" w:eastAsia="Tajawal"/>
        </w:rPr>
        <w:t xml:space="preserve">Email provider charges if paid.</w:t>
      </w:r>
    </w:p>
    <w:p>
      <w:pPr>
        <w:pStyle w:val="ListParagraph"/>
      </w:pPr>
      <w:r>
        <w:rPr>
          <w:rFonts w:ascii="Tajawal" w:hAnsi="Tajawal" w:cs="Tajawal" w:eastAsia="Tajawal"/>
          <w:color w:val="7A3512"/>
          <w:sz w:val="22"/>
          <w:szCs w:val="22"/>
        </w:rPr>
        <w:t>• </w:t>
      </w:r>
      <w:r>
        <w:rPr>
          <w:rFonts w:ascii="Tajawal" w:hAnsi="Tajawal" w:cs="Tajawal" w:eastAsia="Tajawal"/>
        </w:rPr>
        <w:t xml:space="preserve">Payment provider fees.</w:t>
      </w:r>
    </w:p>
    <w:p>
      <w:pPr>
        <w:pStyle w:val="ListParagraph"/>
      </w:pPr>
      <w:r>
        <w:rPr>
          <w:rFonts w:ascii="Tajawal" w:hAnsi="Tajawal" w:cs="Tajawal" w:eastAsia="Tajawal"/>
          <w:color w:val="7A3512"/>
          <w:sz w:val="22"/>
          <w:szCs w:val="22"/>
        </w:rPr>
        <w:t>• </w:t>
      </w:r>
      <w:r>
        <w:rPr>
          <w:rFonts w:ascii="Tajawal" w:hAnsi="Tajawal" w:cs="Tajawal" w:eastAsia="Tajawal"/>
        </w:rPr>
        <w:t xml:space="preserve">External credit bureau or iScore-related costs.</w:t>
      </w:r>
    </w:p>
    <w:p>
      <w:pPr>
        <w:pStyle w:val="ListParagraph"/>
      </w:pPr>
      <w:r>
        <w:rPr>
          <w:rFonts w:ascii="Tajawal" w:hAnsi="Tajawal" w:cs="Tajawal" w:eastAsia="Tajawal"/>
          <w:color w:val="7A3512"/>
          <w:sz w:val="22"/>
          <w:szCs w:val="22"/>
        </w:rPr>
        <w:t>• </w:t>
      </w:r>
      <w:r>
        <w:rPr>
          <w:rFonts w:ascii="Tajawal" w:hAnsi="Tajawal" w:cs="Tajawal" w:eastAsia="Tajawal"/>
        </w:rPr>
        <w:t xml:space="preserve">CRIF/D&amp;B reports or APIs.</w:t>
      </w:r>
    </w:p>
    <w:p>
      <w:pPr>
        <w:pStyle w:val="ListParagraph"/>
      </w:pPr>
      <w:r>
        <w:rPr>
          <w:rFonts w:ascii="Tajawal" w:hAnsi="Tajawal" w:cs="Tajawal" w:eastAsia="Tajawal"/>
          <w:color w:val="7A3512"/>
          <w:sz w:val="22"/>
          <w:szCs w:val="22"/>
        </w:rPr>
        <w:t>• </w:t>
      </w:r>
      <w:r>
        <w:rPr>
          <w:rFonts w:ascii="Tajawal" w:hAnsi="Tajawal" w:cs="Tajawal" w:eastAsia="Tajawal"/>
        </w:rPr>
        <w:t xml:space="preserve">Lender or banking integration fees.</w:t>
      </w:r>
    </w:p>
    <w:p>
      <w:pPr>
        <w:pStyle w:val="ListParagraph"/>
      </w:pPr>
      <w:r>
        <w:rPr>
          <w:rFonts w:ascii="Tajawal" w:hAnsi="Tajawal" w:cs="Tajawal" w:eastAsia="Tajawal"/>
          <w:color w:val="7A3512"/>
          <w:sz w:val="22"/>
          <w:szCs w:val="22"/>
        </w:rPr>
        <w:t>• </w:t>
      </w:r>
      <w:r>
        <w:rPr>
          <w:rFonts w:ascii="Tajawal" w:hAnsi="Tajawal" w:cs="Tajawal" w:eastAsia="Tajawal"/>
        </w:rPr>
        <w:t xml:space="preserve">Paid support plans.</w:t>
      </w:r>
    </w:p>
    <w:p>
      <w:pPr>
        <w:pStyle w:val="ListParagraph"/>
      </w:pPr>
      <w:r>
        <w:rPr>
          <w:rFonts w:ascii="Tajawal" w:hAnsi="Tajawal" w:cs="Tajawal" w:eastAsia="Tajawal"/>
          <w:color w:val="7A3512"/>
          <w:sz w:val="22"/>
          <w:szCs w:val="22"/>
        </w:rPr>
        <w:t>• </w:t>
      </w:r>
      <w:r>
        <w:rPr>
          <w:rFonts w:ascii="Tajawal" w:hAnsi="Tajawal" w:cs="Tajawal" w:eastAsia="Tajawal"/>
        </w:rPr>
        <w:t xml:space="preserve">Security penetration testing.</w:t>
      </w:r>
    </w:p>
    <w:p>
      <w:pPr>
        <w:pStyle w:val="ListParagraph"/>
      </w:pPr>
      <w:r>
        <w:rPr>
          <w:rFonts w:ascii="Tajawal" w:hAnsi="Tajawal" w:cs="Tajawal" w:eastAsia="Tajawal"/>
          <w:color w:val="7A3512"/>
          <w:sz w:val="22"/>
          <w:szCs w:val="22"/>
        </w:rPr>
        <w:t>• </w:t>
      </w:r>
      <w:r>
        <w:rPr>
          <w:rFonts w:ascii="Tajawal" w:hAnsi="Tajawal" w:cs="Tajawal" w:eastAsia="Tajawal"/>
        </w:rPr>
        <w:t xml:space="preserve">Domain purchase if not already owned.</w:t>
      </w:r>
    </w:p>
    <w:p>
      <w:pPr>
        <w:pStyle w:val="ListParagraph"/>
      </w:pPr>
      <w:r>
        <w:rPr>
          <w:rFonts w:ascii="Tajawal" w:hAnsi="Tajawal" w:cs="Tajawal" w:eastAsia="Tajawal"/>
          <w:color w:val="7A3512"/>
          <w:sz w:val="22"/>
          <w:szCs w:val="22"/>
        </w:rPr>
        <w:t>• </w:t>
      </w:r>
      <w:r>
        <w:rPr>
          <w:rFonts w:ascii="Tajawal" w:hAnsi="Tajawal" w:cs="Tajawal" w:eastAsia="Tajawal"/>
        </w:rPr>
        <w:t xml:space="preserve">Production Oracle or enterprise database licensing.</w:t>
      </w:r>
    </w:p>
    <w:p>
      <w:pPr>
        <w:pStyle w:val="ListParagraph"/>
      </w:pPr>
      <w:r>
        <w:rPr>
          <w:rFonts w:ascii="Tajawal" w:hAnsi="Tajawal" w:cs="Tajawal" w:eastAsia="Tajawal"/>
          <w:color w:val="7A3512"/>
          <w:sz w:val="22"/>
          <w:szCs w:val="22"/>
        </w:rPr>
        <w:t>• </w:t>
      </w:r>
      <w:r>
        <w:rPr>
          <w:rFonts w:ascii="Tajawal" w:hAnsi="Tajawal" w:cs="Tajawal" w:eastAsia="Tajawal"/>
        </w:rPr>
        <w:t xml:space="preserve">Enterprise SIEM or compliance tooling.</w:t>
      </w:r>
    </w:p>
    <w:p>
      <w:pPr>
        <w:pStyle w:val="ListParagraph"/>
      </w:pPr>
      <w:r>
        <w:rPr>
          <w:rFonts w:ascii="Tajawal" w:hAnsi="Tajawal" w:cs="Tajawal" w:eastAsia="Tajawal"/>
          <w:color w:val="7A3512"/>
          <w:sz w:val="22"/>
          <w:szCs w:val="22"/>
        </w:rPr>
        <w:t>• </w:t>
      </w:r>
      <w:r>
        <w:rPr>
          <w:rFonts w:ascii="Tajawal" w:hAnsi="Tajawal" w:cs="Tajawal" w:eastAsia="Tajawal"/>
        </w:rPr>
        <w:t xml:space="preserve">High-availability multi-region architecture.</w:t>
      </w:r>
    </w:p>
    <w:p>
      <w:pPr>
        <w:pStyle w:val="Heading2"/>
      </w:pPr>
      <w:r>
        <w:rPr>
          <w:rFonts w:ascii="Tajawal" w:hAnsi="Tajawal" w:cs="Tajawal" w:eastAsia="Tajawal"/>
        </w:rPr>
        <w:t xml:space="preserve">6. Cost-Control Recommendations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Cost Control</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Recommendation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Start small</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Begin with controlled MVP tiers and scale only after real usage data</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Separate environments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QA and staging smaller than production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Disable unnecessary always-on resources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low-tier or scheduled resources for non-production where possible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 logs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sampling, retention limits, and log-volume alerts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Cloudflare for static delivery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Avoid serving static files from the backend API</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document storage in object storage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 not store uploaded documents directly in the database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Set budget alerts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Configure monthly budget thresholds from day one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 monthly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Reassess cost after the first production month and after wider rollout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Avoid premature high availability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 not pay for enterprise redundancy before MVP usage justifies it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Avoid direct production experiments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staging for load, migration, and rollback rehearsals</w:t>
            </w:r>
          </w:p>
        </w:tc>
      </w:tr>
    </w:tbl>
    <w:p>
      <w:pPr>
        <w:pStyle w:val="BodyText"/>
        <w:spacing w:after="120"/>
      </w:pPr>
    </w:p>
    <w:p>
      <w:pPr>
        <w:pStyle w:val="Heading2"/>
      </w:pPr>
      <w:r>
        <w:rPr>
          <w:rFonts w:ascii="Tajawal" w:hAnsi="Tajawal" w:cs="Tajawal" w:eastAsia="Tajawal"/>
        </w:rPr>
        <w:t xml:space="preserve">7. Platform Comparison</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Hosting Option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Strength</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Weakness</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CashLine Recommendation</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 + Azure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Strong cost/reliability balance, enterprise growth path, SQL Server fit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Requires managing two platforms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Recommended for MVP production</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Full Azure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Strong enterprise governance and single-vendor operations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Higher cost than hybrid frontend approach</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Good later if operations prefer one cloud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 + Railway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Very fast and cheap for demos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Less enterprise governance and database maturity for finance workflows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Acceptable for demo, not preferred for production MVP</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Pages + Render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Simple app deployment</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Less aligned if SQL Server is mandatory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Possible for prototype/pilot only</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DigitalOcean App Platform</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Predictable pricing and simple operations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Better fit for Postgres/MySQL than SQL Server</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Good for non-SQL Server MVPs, less ideal for CashLine</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Supabase/Neon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Excellent Postgres-first platforms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Requires database direction change from SQL Server</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 recommended unless CashLine moves to Postgres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AWS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Very strong and scalable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More setup complexity and DevOps overhead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Good only if team already has AWS capability</w:t>
            </w:r>
          </w:p>
        </w:tc>
      </w:tr>
    </w:tbl>
    <w:p>
      <w:pPr>
        <w:pStyle w:val="BodyText"/>
        <w:spacing w:after="120"/>
      </w:pPr>
    </w:p>
    <w:p>
      <w:pPr>
        <w:pStyle w:val="Heading2"/>
      </w:pPr>
      <w:r>
        <w:rPr>
          <w:rFonts w:ascii="Tajawal" w:hAnsi="Tajawal" w:cs="Tajawal" w:eastAsia="Tajawal"/>
        </w:rPr>
        <w:t xml:space="preserve">8. Reliability Recommendations</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Area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Control</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Wider Rollout Control</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Uptime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 managed Azure hosting and Cloudflare frontend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Add higher App Service/Container tier and stronger SLA/support</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recovery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point-in-time restore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Longer retention, tested restores, optional replicas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Pre-deployment backups and regular backup checks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Formal backup policy and restore drills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safety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rehearsal and production smoke test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Automated CI/CD gates and rollback automation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Application Insights, health checks, log alerts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Dashboards, SLA reports, incident workflow</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Security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HTTPS, WAF, role-based access, secret management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Key Vault, private endpoints, advanced WAF, SIEM</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Performance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Start modest and measure real use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Scale compute/database from metrics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parity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points to the same controlled backend/API</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update channel and version control</w:t>
            </w:r>
          </w:p>
        </w:tc>
      </w:tr>
    </w:tbl>
    <w:p>
      <w:pPr>
        <w:pStyle w:val="BodyText"/>
        <w:spacing w:after="120"/>
      </w:pPr>
    </w:p>
    <w:p>
      <w:pPr>
        <w:pStyle w:val="Heading2"/>
      </w:pPr>
      <w:r>
        <w:rPr>
          <w:rFonts w:ascii="Tajawal" w:hAnsi="Tajawal" w:cs="Tajawal" w:eastAsia="Tajawal"/>
        </w:rPr>
        <w:t xml:space="preserve">9. Production Versus Backup/Recovery Separation</w:t>
      </w:r>
    </w:p>
    <w:p>
      <w:pPr>
        <w:pStyle w:val="BodyText"/>
      </w:pPr>
      <w:r>
        <w:rPr>
          <w:rFonts w:ascii="Tajawal" w:hAnsi="Tajawal" w:cs="Tajawal" w:eastAsia="Tajawal"/>
        </w:rPr>
        <w:t xml:space="preserve">Production and backup/recovery must be treated as two different operating concerns. Production is the active live environment used by real users to process business transactions. Backup/recovery is the protected fallback capability used to restore service, recover data, support rollback, and prove business continuity.</w:t>
      </w:r>
    </w:p>
    <w:p>
      <w:pPr>
        <w:pStyle w:val="BodyText"/>
      </w:pPr>
      <w:r>
        <w:rPr>
          <w:rFonts w:ascii="Tajawal" w:hAnsi="Tajawal" w:cs="Tajawal" w:eastAsia="Tajawal"/>
        </w:rPr>
        <w:t xml:space="preserve">Backup/recovery must not be considered another production environment and must not be used for normal user activity, testing, reporting experiments, or operational processing.</w:t>
      </w:r>
    </w:p>
    <w:p>
      <w:pPr>
        <w:pStyle w:val="Heading3"/>
      </w:pPr>
      <w:r>
        <w:rPr>
          <w:rFonts w:ascii="Tajawal" w:hAnsi="Tajawal" w:cs="Tajawal" w:eastAsia="Tajawal"/>
        </w:rPr>
        <w:t xml:space="preserve">9.1 Production Environment</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Production Area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Purpose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Expected Behavior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frontend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Serves the live CashLine web portal to approved users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Publicly reachable through approved domain, Cloudflare, HTTPS, and WAF rules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backend API</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Processes live user actions, workflows, permissions, reports, notifications, and integrations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Always points to production database and production configuration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database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Stores live operational records, users, roles, transactions, workflow states, audit records, and reportable data</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Receives live writes only from approved production services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document storage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Stores live uploaded documents, generated exports, and operational attachments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Governed by production access rules and retention policy</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monitoring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Tracks live health, errors, latency, security events, and user-impacting incidents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Used for hypercare, alerting, and operational support</w:t>
            </w:r>
          </w:p>
        </w:tc>
      </w:tr>
    </w:tbl>
    <w:p>
      <w:pPr>
        <w:pStyle w:val="BodyText"/>
        <w:spacing w:after="120"/>
      </w:pPr>
    </w:p>
    <w:p>
      <w:pPr>
        <w:pStyle w:val="BodyText"/>
      </w:pPr>
      <w:r>
        <w:rPr>
          <w:rFonts w:ascii="Tajawal" w:hAnsi="Tajawal" w:cs="Tajawal" w:eastAsia="Tajawal"/>
        </w:rPr>
        <w:t xml:space="preserve">Production must contain only approved live configuration and approved live data. It must exclude UAT users, demo users, sample journeys, test records, placeholder transactions, and non-operational guidance content.</w:t>
      </w:r>
    </w:p>
    <w:p>
      <w:pPr>
        <w:pStyle w:val="Heading3"/>
      </w:pPr>
      <w:r>
        <w:rPr>
          <w:rFonts w:ascii="Tajawal" w:hAnsi="Tajawal" w:cs="Tajawal" w:eastAsia="Tajawal"/>
        </w:rPr>
        <w:t xml:space="preserve">9.2 Backup And Recovery Capability</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Backup/Recovery Area</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Purpose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Expected Behavior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point-in-time restore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Recover production database to a known previous point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Used only during approved recovery, rollback, or restore testing</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Pre-release backup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Capture production state immediately before deployment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Mandatory before production migration or production release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Blob/document backup controls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Protect uploaded documents, exports, and attachments from accidental deletion or corruption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Uses soft-delete, versioning, retention, or backup policy where feasible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package archive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Preserve deployed backend, frontend, desktop, and configuration package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Enables rollback to last known good release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Configuration backup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Preserve production environment variables, secrets references, and integration settings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Supports environment rebuild and incident recovery</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 evidence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Prove that backups can actually be restored</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before go-live and repeated periodically</w:t>
            </w:r>
          </w:p>
        </w:tc>
      </w:tr>
    </w:tbl>
    <w:p>
      <w:pPr>
        <w:pStyle w:val="BodyText"/>
        <w:spacing w:after="120"/>
      </w:pPr>
    </w:p>
    <w:p>
      <w:pPr>
        <w:pStyle w:val="BodyText"/>
      </w:pPr>
      <w:r>
        <w:rPr>
          <w:rFonts w:ascii="Tajawal" w:hAnsi="Tajawal" w:cs="Tajawal" w:eastAsia="Tajawal"/>
        </w:rPr>
        <w:t xml:space="preserve">Backup/recovery data should be isolated from active production processing. A restored copy may be used for controlled validation or incident recovery, but it must not silently become the live production environment without formal cutover approval.</w:t>
      </w:r>
    </w:p>
    <w:p>
      <w:pPr>
        <w:pStyle w:val="Heading3"/>
      </w:pPr>
      <w:r>
        <w:rPr>
          <w:rFonts w:ascii="Tajawal" w:hAnsi="Tajawal" w:cs="Tajawal" w:eastAsia="Tajawal"/>
        </w:rPr>
        <w:t xml:space="preserve">9.3 Separation Rules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Rule</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shared test data</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copies must not be mixed with QA, staging, or demo data</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direct user access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users should not log into backup/recovery stores or restored copies unless a formal recovery event is declared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routine reporting from backups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Normal operational reports must come from production or an approved reporting replica, not from backup stores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backup overwrite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backups must be protected from accidental overwrite or deletion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validation required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 backup is not considered reliable until a restore test proves it can be used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before restore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restore or rollback requires release owner and technical owner approval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Evidence retained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creation, restore tests, and recovery actions must be recorded in the release/governance evidence pack</w:t>
            </w:r>
          </w:p>
        </w:tc>
      </w:tr>
    </w:tbl>
    <w:p>
      <w:pPr>
        <w:pStyle w:val="BodyText"/>
        <w:spacing w:after="120"/>
      </w:pPr>
    </w:p>
    <w:p>
      <w:pPr>
        <w:pStyle w:val="Heading3"/>
      </w:pPr>
      <w:r>
        <w:rPr>
          <w:rFonts w:ascii="Tajawal" w:hAnsi="Tajawal" w:cs="Tajawal" w:eastAsia="Tajawal"/>
        </w:rPr>
        <w:t xml:space="preserve">9.4 MVP Backup Baseline</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Backup Item</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MVP Recommendation</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automatic backups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point-in-time restore with at least 7 days minimum retention, preferably up to 35 days if budget allows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DBA</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Pre-deployment database backup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Take before every production deployment or migration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team / DBA</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storage protection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soft-delete/versioning or equivalent retention for production Blob Storage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package archive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Keep every deployed backend, frontend, desktop, and Cloudflare package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Configuration export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Record production configuration baseline before release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Run before go-live, then monthly during MVP stabilization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RPO target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baseline: 24 hours or better unless live finance data requires tighter recovery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 technical owners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RTO target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baseline: same business day recovery unless business requires tighter SLA</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 technical owners</w:t>
            </w:r>
          </w:p>
        </w:tc>
      </w:tr>
    </w:tbl>
    <w:p>
      <w:pPr>
        <w:pStyle w:val="BodyText"/>
        <w:spacing w:after="120"/>
      </w:pPr>
    </w:p>
    <w:p>
      <w:pPr>
        <w:pStyle w:val="Heading3"/>
      </w:pPr>
      <w:r>
        <w:rPr>
          <w:rFonts w:ascii="Tajawal" w:hAnsi="Tajawal" w:cs="Tajawal" w:eastAsia="Tajawal"/>
        </w:rPr>
        <w:t xml:space="preserve">9.5 Cost Distinction</w:t>
      </w:r>
    </w:p>
    <w:p>
      <w:pPr>
        <w:pStyle w:val="BodyText"/>
      </w:pPr>
      <w:r>
        <w:rPr>
          <w:rFonts w:ascii="Tajawal" w:hAnsi="Tajawal" w:cs="Tajawal" w:eastAsia="Tajawal"/>
        </w:rPr>
        <w:t xml:space="preserve">Production cost covers the active runtime used by users. Backup/recovery cost covers the safety layer that protects production.</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Cost Category</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Examples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How To Treat It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cost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 Service/Container Apps, Azure SQL live database, Cloudflare, active Blob Storage, monitoring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Core monthly operating cost</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 cost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retention, backup storage, release archives, restore-test database copies, log retention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continuity and risk-control cost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cost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backend, staging database, staging storage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Pre-production validation cost, separate from production and backup</w:t>
            </w:r>
          </w:p>
        </w:tc>
      </w:tr>
    </w:tbl>
    <w:p>
      <w:pPr>
        <w:pStyle w:val="BodyText"/>
        <w:spacing w:after="120"/>
      </w:pPr>
    </w:p>
    <w:p>
      <w:pPr>
        <w:pStyle w:val="BodyText"/>
      </w:pPr>
      <w:r>
        <w:rPr>
          <w:rFonts w:ascii="Tajawal" w:hAnsi="Tajawal" w:cs="Tajawal" w:eastAsia="Tajawal"/>
        </w:rPr>
        <w:t xml:space="preserve">The MVP cost estimate includes a modest backup/recovery allowance, but a stricter backup plan, longer retention, replicated storage, or disaster recovery environment will increase monthly cost.</w:t>
      </w:r>
    </w:p>
    <w:p>
      <w:pPr>
        <w:pStyle w:val="Heading2"/>
      </w:pPr>
      <w:r>
        <w:rPr>
          <w:rFonts w:ascii="Tajawal" w:hAnsi="Tajawal" w:cs="Tajawal" w:eastAsia="Tajawal"/>
        </w:rPr>
        <w:t xml:space="preserve">10. Recommended Deployment Model</w:t>
      </w:r>
    </w:p>
    <w:p>
      <w:pPr>
        <w:pStyle w:val="BodyText"/>
      </w:pPr>
      <w:r>
        <w:rPr>
          <w:rFonts w:ascii="Tajawal" w:hAnsi="Tajawal" w:cs="Tajawal" w:eastAsia="Tajawal"/>
        </w:rPr>
        <w:t xml:space="preserve">The recommended MVP hosting and deployment model should follow the production release path:</w:t>
      </w:r>
    </w:p>
    <w:p>
      <w:pPr>
        <w:pStyle w:val="BodyText"/>
      </w:pPr>
      <w:r>
        <w:rPr>
          <w:rFonts w:ascii="Tajawal" w:hAnsi="Tajawal" w:cs="Tajawal" w:eastAsia="Tajawal"/>
          <w:b/>
          <w:bCs/>
        </w:rPr>
        <w:t xml:space="preserve">Development -&gt; QA -&gt; Staging/Pre-production -&gt; Controlled Production MVP -&gt; Stabilization -&gt; Wider rollout</w:t>
      </w:r>
    </w:p>
    <w:p>
      <w:pPr>
        <w:pStyle w:val="BodyText"/>
      </w:pPr>
      <w:r>
        <w:rPr>
          <w:rFonts w:ascii="Tajawal" w:hAnsi="Tajawal" w:cs="Tajawal" w:eastAsia="Tajawal"/>
        </w:rPr>
        <w:t xml:space="preserve">Each stage should have its own configuration and database. Production should never share a database with QA, staging, demo, or development.</w:t>
      </w:r>
    </w:p>
    <w:p>
      <w:pPr>
        <w:pStyle w:val="Heading2"/>
      </w:pPr>
      <w:r>
        <w:rPr>
          <w:rFonts w:ascii="Tajawal" w:hAnsi="Tajawal" w:cs="Tajawal" w:eastAsia="Tajawal"/>
        </w:rPr>
        <w:t xml:space="preserve">11. Minimum Production Setup</w:t>
      </w:r>
    </w:p>
    <w:p>
      <w:pPr>
        <w:pStyle w:val="Callout"/>
      </w:pPr>
      <w:r>
        <w:rPr>
          <w:rFonts w:ascii="Tajawal" w:hAnsi="Tajawal" w:cs="Tajawal" w:eastAsia="Tajawal"/>
        </w:rPr>
        <w:t xml:space="preserve">The minimum acceptable production setup for CashLine V1 MVP should include:</w:t>
      </w:r>
    </w:p>
    <w:p>
      <w:pPr>
        <w:pStyle w:val="ListParagraph"/>
      </w:pPr>
      <w:r>
        <w:rPr>
          <w:rFonts w:ascii="Tajawal" w:hAnsi="Tajawal" w:cs="Tajawal" w:eastAsia="Tajawal"/>
          <w:color w:val="7A3512"/>
          <w:sz w:val="22"/>
          <w:szCs w:val="22"/>
        </w:rPr>
        <w:t>• </w:t>
      </w:r>
      <w:r>
        <w:rPr>
          <w:rFonts w:ascii="Tajawal" w:hAnsi="Tajawal" w:cs="Tajawal" w:eastAsia="Tajawal"/>
        </w:rPr>
        <w:t xml:space="preserve">Cloudflare-managed domain and HTTPS.</w:t>
      </w:r>
    </w:p>
    <w:p>
      <w:pPr>
        <w:pStyle w:val="ListParagraph"/>
      </w:pPr>
      <w:r>
        <w:rPr>
          <w:rFonts w:ascii="Tajawal" w:hAnsi="Tajawal" w:cs="Tajawal" w:eastAsia="Tajawal"/>
          <w:color w:val="7A3512"/>
          <w:sz w:val="22"/>
          <w:szCs w:val="22"/>
        </w:rPr>
        <w:t>• </w:t>
      </w:r>
      <w:r>
        <w:rPr>
          <w:rFonts w:ascii="Tajawal" w:hAnsi="Tajawal" w:cs="Tajawal" w:eastAsia="Tajawal"/>
        </w:rPr>
        <w:t xml:space="preserve">Cloudflare Pages frontend hosting.</w:t>
      </w:r>
    </w:p>
    <w:p>
      <w:pPr>
        <w:pStyle w:val="ListParagraph"/>
      </w:pPr>
      <w:r>
        <w:rPr>
          <w:rFonts w:ascii="Tajawal" w:hAnsi="Tajawal" w:cs="Tajawal" w:eastAsia="Tajawal"/>
          <w:color w:val="7A3512"/>
          <w:sz w:val="22"/>
          <w:szCs w:val="22"/>
        </w:rPr>
        <w:t>• </w:t>
      </w:r>
      <w:r>
        <w:rPr>
          <w:rFonts w:ascii="Tajawal" w:hAnsi="Tajawal" w:cs="Tajawal" w:eastAsia="Tajawal"/>
        </w:rPr>
        <w:t xml:space="preserve">Azure backend hosting.</w:t>
      </w:r>
    </w:p>
    <w:p>
      <w:pPr>
        <w:pStyle w:val="ListParagraph"/>
      </w:pPr>
      <w:r>
        <w:rPr>
          <w:rFonts w:ascii="Tajawal" w:hAnsi="Tajawal" w:cs="Tajawal" w:eastAsia="Tajawal"/>
          <w:color w:val="7A3512"/>
          <w:sz w:val="22"/>
          <w:szCs w:val="22"/>
        </w:rPr>
        <w:t>• </w:t>
      </w:r>
      <w:r>
        <w:rPr>
          <w:rFonts w:ascii="Tajawal" w:hAnsi="Tajawal" w:cs="Tajawal" w:eastAsia="Tajawal"/>
        </w:rPr>
        <w:t xml:space="preserve">Azure SQL production database.</w:t>
      </w:r>
    </w:p>
    <w:p>
      <w:pPr>
        <w:pStyle w:val="ListParagraph"/>
      </w:pPr>
      <w:r>
        <w:rPr>
          <w:rFonts w:ascii="Tajawal" w:hAnsi="Tajawal" w:cs="Tajawal" w:eastAsia="Tajawal"/>
          <w:color w:val="7A3512"/>
          <w:sz w:val="22"/>
          <w:szCs w:val="22"/>
        </w:rPr>
        <w:t>• </w:t>
      </w:r>
      <w:r>
        <w:rPr>
          <w:rFonts w:ascii="Tajawal" w:hAnsi="Tajawal" w:cs="Tajawal" w:eastAsia="Tajawal"/>
        </w:rPr>
        <w:t xml:space="preserve">Separate Azure SQL staging database.</w:t>
      </w:r>
    </w:p>
    <w:p>
      <w:pPr>
        <w:pStyle w:val="ListParagraph"/>
      </w:pPr>
      <w:r>
        <w:rPr>
          <w:rFonts w:ascii="Tajawal" w:hAnsi="Tajawal" w:cs="Tajawal" w:eastAsia="Tajawal"/>
          <w:color w:val="7A3512"/>
          <w:sz w:val="22"/>
          <w:szCs w:val="22"/>
        </w:rPr>
        <w:t>• </w:t>
      </w:r>
      <w:r>
        <w:rPr>
          <w:rFonts w:ascii="Tajawal" w:hAnsi="Tajawal" w:cs="Tajawal" w:eastAsia="Tajawal"/>
        </w:rPr>
        <w:t xml:space="preserve">Azure Blob Storage for files and exports.</w:t>
      </w:r>
    </w:p>
    <w:p>
      <w:pPr>
        <w:pStyle w:val="ListParagraph"/>
      </w:pPr>
      <w:r>
        <w:rPr>
          <w:rFonts w:ascii="Tajawal" w:hAnsi="Tajawal" w:cs="Tajawal" w:eastAsia="Tajawal"/>
          <w:color w:val="7A3512"/>
          <w:sz w:val="22"/>
          <w:szCs w:val="22"/>
        </w:rPr>
        <w:t>• </w:t>
      </w:r>
      <w:r>
        <w:rPr>
          <w:rFonts w:ascii="Tajawal" w:hAnsi="Tajawal" w:cs="Tajawal" w:eastAsia="Tajawal"/>
        </w:rPr>
        <w:t xml:space="preserve">Application Insights logging.</w:t>
      </w:r>
    </w:p>
    <w:p>
      <w:pPr>
        <w:pStyle w:val="ListParagraph"/>
      </w:pPr>
      <w:r>
        <w:rPr>
          <w:rFonts w:ascii="Tajawal" w:hAnsi="Tajawal" w:cs="Tajawal" w:eastAsia="Tajawal"/>
          <w:color w:val="7A3512"/>
          <w:sz w:val="22"/>
          <w:szCs w:val="22"/>
        </w:rPr>
        <w:t>• </w:t>
      </w:r>
      <w:r>
        <w:rPr>
          <w:rFonts w:ascii="Tajawal" w:hAnsi="Tajawal" w:cs="Tajawal" w:eastAsia="Tajawal"/>
        </w:rPr>
        <w:t xml:space="preserve">Health check endpoint.</w:t>
      </w:r>
    </w:p>
    <w:p>
      <w:pPr>
        <w:pStyle w:val="ListParagraph"/>
      </w:pPr>
      <w:r>
        <w:rPr>
          <w:rFonts w:ascii="Tajawal" w:hAnsi="Tajawal" w:cs="Tajawal" w:eastAsia="Tajawal"/>
          <w:color w:val="7A3512"/>
          <w:sz w:val="22"/>
          <w:szCs w:val="22"/>
        </w:rPr>
        <w:t>• </w:t>
      </w:r>
      <w:r>
        <w:rPr>
          <w:rFonts w:ascii="Tajawal" w:hAnsi="Tajawal" w:cs="Tajawal" w:eastAsia="Tajawal"/>
        </w:rPr>
        <w:t xml:space="preserve">Budget alerts.</w:t>
      </w:r>
    </w:p>
    <w:p>
      <w:pPr>
        <w:pStyle w:val="ListParagraph"/>
      </w:pPr>
      <w:r>
        <w:rPr>
          <w:rFonts w:ascii="Tajawal" w:hAnsi="Tajawal" w:cs="Tajawal" w:eastAsia="Tajawal"/>
          <w:color w:val="7A3512"/>
          <w:sz w:val="22"/>
          <w:szCs w:val="22"/>
        </w:rPr>
        <w:t>• </w:t>
      </w:r>
      <w:r>
        <w:rPr>
          <w:rFonts w:ascii="Tajawal" w:hAnsi="Tajawal" w:cs="Tajawal" w:eastAsia="Tajawal"/>
        </w:rPr>
        <w:t xml:space="preserve">Pre-deployment database backup.</w:t>
      </w:r>
    </w:p>
    <w:p>
      <w:pPr>
        <w:pStyle w:val="ListParagraph"/>
      </w:pPr>
      <w:r>
        <w:rPr>
          <w:rFonts w:ascii="Tajawal" w:hAnsi="Tajawal" w:cs="Tajawal" w:eastAsia="Tajawal"/>
          <w:color w:val="7A3512"/>
          <w:sz w:val="22"/>
          <w:szCs w:val="22"/>
        </w:rPr>
        <w:t>• </w:t>
      </w:r>
      <w:r>
        <w:rPr>
          <w:rFonts w:ascii="Tajawal" w:hAnsi="Tajawal" w:cs="Tajawal" w:eastAsia="Tajawal"/>
        </w:rPr>
        <w:t xml:space="preserve">Role-based production users only.</w:t>
      </w:r>
    </w:p>
    <w:p>
      <w:pPr>
        <w:pStyle w:val="ListParagraph"/>
      </w:pPr>
      <w:r>
        <w:rPr>
          <w:rFonts w:ascii="Tajawal" w:hAnsi="Tajawal" w:cs="Tajawal" w:eastAsia="Tajawal"/>
          <w:color w:val="7A3512"/>
          <w:sz w:val="22"/>
          <w:szCs w:val="22"/>
        </w:rPr>
        <w:t>• </w:t>
      </w:r>
      <w:r>
        <w:rPr>
          <w:rFonts w:ascii="Tajawal" w:hAnsi="Tajawal" w:cs="Tajawal" w:eastAsia="Tajawal"/>
        </w:rPr>
        <w:t xml:space="preserve">No UAT/demo data.</w:t>
      </w:r>
    </w:p>
    <w:p>
      <w:pPr>
        <w:pStyle w:val="ListParagraph"/>
      </w:pPr>
      <w:r>
        <w:rPr>
          <w:rFonts w:ascii="Tajawal" w:hAnsi="Tajawal" w:cs="Tajawal" w:eastAsia="Tajawal"/>
          <w:color w:val="7A3512"/>
          <w:sz w:val="22"/>
          <w:szCs w:val="22"/>
        </w:rPr>
        <w:t>• </w:t>
      </w:r>
      <w:r>
        <w:rPr>
          <w:rFonts w:ascii="Tajawal" w:hAnsi="Tajawal" w:cs="Tajawal" w:eastAsia="Tajawal"/>
        </w:rPr>
        <w:t xml:space="preserve">No public debug endpoints.</w:t>
      </w:r>
    </w:p>
    <w:p>
      <w:pPr>
        <w:pStyle w:val="ListParagraph"/>
      </w:pPr>
      <w:r>
        <w:rPr>
          <w:rFonts w:ascii="Tajawal" w:hAnsi="Tajawal" w:cs="Tajawal" w:eastAsia="Tajawal"/>
          <w:color w:val="7A3512"/>
          <w:sz w:val="22"/>
          <w:szCs w:val="22"/>
        </w:rPr>
        <w:t>• </w:t>
      </w:r>
      <w:r>
        <w:rPr>
          <w:rFonts w:ascii="Tajawal" w:hAnsi="Tajawal" w:cs="Tajawal" w:eastAsia="Tajawal"/>
        </w:rPr>
        <w:t xml:space="preserve">No hardcoded production secrets.</w:t>
      </w:r>
    </w:p>
    <w:p>
      <w:pPr>
        <w:pStyle w:val="Heading2"/>
      </w:pPr>
      <w:r>
        <w:rPr>
          <w:rFonts w:ascii="Tajawal" w:hAnsi="Tajawal" w:cs="Tajawal" w:eastAsia="Tajawal"/>
        </w:rPr>
        <w:t xml:space="preserve">12. Recommended First-Month Operating Plan</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Week</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Focus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Week 1</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staging, run migration rehearsal, load test data, verify web/desktop/API/reporting</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Week 2</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production MVP, activate limited users, monitor login/workflows/reports/notifications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Week 3</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 defects, tune database/API, validate backup/restore evidence, refine alert thresholds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Week 4</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 review, usage review, security review, readiness decision for wider rollout</w:t>
            </w:r>
          </w:p>
        </w:tc>
      </w:tr>
    </w:tbl>
    <w:p>
      <w:pPr>
        <w:pStyle w:val="BodyText"/>
        <w:spacing w:after="120"/>
      </w:pPr>
    </w:p>
    <w:p>
      <w:pPr>
        <w:pStyle w:val="Heading2"/>
      </w:pPr>
      <w:r>
        <w:rPr>
          <w:rFonts w:ascii="Tajawal" w:hAnsi="Tajawal" w:cs="Tajawal" w:eastAsia="Tajawal"/>
        </w:rPr>
        <w:t xml:space="preserve">13. External Integration Hosting And Go-Live Uncertainty</w:t>
      </w:r>
    </w:p>
    <w:p>
      <w:pPr>
        <w:pStyle w:val="BodyText"/>
      </w:pPr>
      <w:r>
        <w:rPr>
          <w:rFonts w:ascii="Tajawal" w:hAnsi="Tajawal" w:cs="Tajawal" w:eastAsia="Tajawal"/>
        </w:rPr>
        <w:t xml:space="preserve">ETA/e-invoicing, Fawry, and Paymob are go-live uncertainty paths for the MVP hosting and deployment model. They are not assumed active in the baseline production hosting cost or runtime setup unless third-party credentials, authority/merchant access, endpoint configuration, callback rules, security configuration, and owner sign-off become available.</w:t>
      </w:r>
    </w:p>
    <w:p>
      <w:pPr>
        <w:pStyle w:val="BodyText"/>
      </w:pPr>
      <w:r>
        <w:rPr>
          <w:rFonts w:ascii="Tajawal" w:hAnsi="Tajawal" w:cs="Tajawal" w:eastAsia="Tajawal"/>
        </w:rPr>
        <w:t xml:space="preserve">These paths may be added to the controlled MVP at any time if ETA, Fawry, or Paymob activate the required credentials or access earlier than expected. If that happens, the hosting design must support controlled activation without weakening production governance.</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External Path</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Hosting/Infrastructure Impact</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Activation Control</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 e-invoicing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May require outbound API access, certificate/credential handling, secure configuration, tax/audit logging, and exception monitoring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only after staging validation, secure secret storage, tax/finance approval, and production release approval</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May require payment API access, callback endpoints, webhook security, reconciliation logs, and monitoring alerts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only after payment-flow testing, callback validation, reconciliation check, and production release approval</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May require payment API access, callback endpoints, webhook security, reconciliation logs, and monitoring alerts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Enable only after payment-flow testing, callback validation, reconciliation check, and production release approval</w:t>
            </w:r>
          </w:p>
        </w:tc>
      </w:tr>
    </w:tbl>
    <w:p>
      <w:pPr>
        <w:pStyle w:val="BodyText"/>
        <w:spacing w:after="120"/>
      </w:pPr>
    </w:p>
    <w:p>
      <w:pPr>
        <w:pStyle w:val="BodyText"/>
      </w:pPr>
      <w:r>
        <w:rPr>
          <w:rFonts w:ascii="Tajawal" w:hAnsi="Tajawal" w:cs="Tajawal" w:eastAsia="Tajawal"/>
        </w:rPr>
        <w:t xml:space="preserve">The MVP budget estimate does not include external provider fees, transaction fees, paid certification fees, production support costs from those providers, or additional hosting/security cost that may arise if these integrations are activated. Any activation must be reviewed as a cost-impacting and release-impacting change.</w:t>
      </w:r>
    </w:p>
    <w:p>
      <w:pPr>
        <w:pStyle w:val="Heading2"/>
      </w:pPr>
      <w:r>
        <w:rPr>
          <w:rFonts w:ascii="Tajawal" w:hAnsi="Tajawal" w:cs="Tajawal" w:eastAsia="Tajawal"/>
        </w:rPr>
        <w:t xml:space="preserve">14. Final Recommendation</w:t>
      </w:r>
    </w:p>
    <w:p>
      <w:pPr>
        <w:pStyle w:val="BodyText"/>
      </w:pPr>
      <w:r>
        <w:rPr>
          <w:rFonts w:ascii="Tajawal" w:hAnsi="Tajawal" w:cs="Tajawal" w:eastAsia="Tajawal"/>
        </w:rPr>
        <w:t xml:space="preserve">CashLine should proceed with a hybrid Cloudflare and Azure hosting model for the controlled production MVP.</w:t>
      </w:r>
    </w:p>
    <w:p>
      <w:pPr>
        <w:pStyle w:val="Callout"/>
      </w:pPr>
      <w:r>
        <w:rPr>
          <w:rFonts w:ascii="Tajawal" w:hAnsi="Tajawal" w:cs="Tajawal" w:eastAsia="Tajawal"/>
        </w:rPr>
        <w:t xml:space="preserve">The recommended target stack is:</w:t>
      </w:r>
    </w:p>
    <w:p>
      <w:pPr>
        <w:pStyle w:val="BodyText"/>
      </w:pPr>
      <w:r>
        <w:rPr>
          <w:rFonts w:ascii="Tajawal" w:hAnsi="Tajawal" w:cs="Tajawal" w:eastAsia="Tajawal"/>
          <w:b/>
          <w:bCs/>
        </w:rPr>
        <w:t xml:space="preserve">Cloudflare Pages / DNS / WAF -&gt; Azure App Service or Azure Container Apps -&gt; Azure SQL Database -&gt; Azure Blob Storage -&gt; Azure Monitor</w:t>
      </w:r>
    </w:p>
    <w:p>
      <w:pPr>
        <w:pStyle w:val="BodyText"/>
      </w:pPr>
      <w:r>
        <w:rPr>
          <w:rFonts w:ascii="Tajawal" w:hAnsi="Tajawal" w:cs="Tajawal" w:eastAsia="Tajawal"/>
        </w:rPr>
        <w:t xml:space="preserve">This gives the project the best balance of cost efficiency, reliability, SQL Server alignment, enterprise credibility, operational monitoring, and future scalability.</w:t>
      </w:r>
    </w:p>
    <w:p>
      <w:pPr>
        <w:pStyle w:val="Callout"/>
      </w:pPr>
      <w:r>
        <w:rPr>
          <w:rFonts w:ascii="Tajawal" w:hAnsi="Tajawal" w:cs="Tajawal" w:eastAsia="Tajawal"/>
        </w:rPr>
        <w:t xml:space="preserve">For budget planning, use:</w:t>
      </w:r>
    </w:p>
    <w:p>
      <w:pPr>
        <w:pStyle w:val="ListParagraph"/>
      </w:pPr>
      <w:r>
        <w:rPr>
          <w:rFonts w:ascii="Tajawal" w:hAnsi="Tajawal" w:cs="Tajawal" w:eastAsia="Tajawal"/>
          <w:color w:val="7A3512"/>
          <w:sz w:val="22"/>
          <w:szCs w:val="22"/>
        </w:rPr>
        <w:t>• </w:t>
      </w:r>
      <w:r>
        <w:rPr>
          <w:rFonts w:ascii="Tajawal" w:hAnsi="Tajawal" w:cs="Tajawal" w:eastAsia="Tajawal"/>
          <w:b/>
          <w:bCs/>
        </w:rPr>
        <w:t xml:space="preserve">Lean controlled MVP estimate: $80 - $250/month</w:t>
      </w:r>
    </w:p>
    <w:p>
      <w:pPr>
        <w:pStyle w:val="ListParagraph"/>
      </w:pPr>
      <w:r>
        <w:rPr>
          <w:rFonts w:ascii="Tajawal" w:hAnsi="Tajawal" w:cs="Tajawal" w:eastAsia="Tajawal"/>
          <w:color w:val="7A3512"/>
          <w:sz w:val="22"/>
          <w:szCs w:val="22"/>
        </w:rPr>
        <w:t>• </w:t>
      </w:r>
      <w:r>
        <w:rPr>
          <w:rFonts w:ascii="Tajawal" w:hAnsi="Tajawal" w:cs="Tajawal" w:eastAsia="Tajawal"/>
          <w:b/>
          <w:bCs/>
        </w:rPr>
        <w:t xml:space="preserve">Production-comfortable MVP estimate: $250 - $600/month</w:t>
      </w:r>
    </w:p>
    <w:p>
      <w:pPr>
        <w:pStyle w:val="BodyText"/>
      </w:pPr>
      <w:r>
        <w:rPr>
          <w:rFonts w:ascii="Tajawal" w:hAnsi="Tajawal" w:cs="Tajawal" w:eastAsia="Tajawal"/>
        </w:rPr>
        <w:t xml:space="preserve">The business should start lean, monitor carefully, avoid premature enterprise spend, and scale only after controlled production usage proves real workload patterns.</w:t>
      </w:r>
    </w:p>
    <w:sectPr>
      <w:headerReference w:type="default" r:id="rIdHeader1"/>
      <w:footerReference w:type="default" r:id="rIdFooter1"/>
      <w:pgSz w:w="11906" w:h="16838"/>
      <w:pgMar w:top="1134" w:right="1008" w:bottom="1134" w:left="1008" w:header="567" w:footer="567" w:gutter="0"/>
      <w:cols w:space="708"/>
    </w:sectPr>
  </w:body>
</w:document>
</file>

<file path=word/footer1.xml><?xml version="1.0" encoding="utf-8"?>
<w:ftr xmlns:w="http://schemas.openxmlformats.org/wordprocessingml/2006/main" xmlns:r="http://schemas.openxmlformats.org/officeDocument/2006/relationships">
  <w:p>
    <w:pPr>
      <w:jc w:val="center"/>
      <w:pBdr>
        <w:top w:val="single" w:sz="4" w:space="2" w:color="E7D6C8"/>
      </w:pBdr>
    </w:pPr>
    <w:r>
      <w:rPr>
        <w:rFonts w:ascii="Tajawal" w:hAnsi="Tajawal" w:cs="Tajawal" w:eastAsia="Tajawal"/>
        <w:color w:val="6B7280"/>
        <w:sz w:val="16"/>
        <w:szCs w:val="16"/>
      </w:rPr>
      <w:t xml:space="preserve">Confidential - CashLine ERP Governance Deliverable  |  Page </w:t>
    </w:r>
    <w:r>
      <w:fldChar w:fldCharType="begin"/>
    </w:r>
    <w:r>
      <w:instrText xml:space="preserve"> PAGE </w:instrText>
    </w:r>
    <w:r>
      <w:fldChar w:fldCharType="separate"/>
    </w:r>
    <w:r>
      <w:t>1</w:t>
    </w:r>
    <w:r>
      <w:fldChar w:fldCharType="end"/>
    </w:r>
    <w:r>
      <w:rPr>
        <w:rFonts w:ascii="Tajawal" w:hAnsi="Tajawal" w:cs="Tajawal" w:eastAsia="Tajawal"/>
        <w:color w:val="6B7280"/>
        <w:sz w:val="16"/>
        <w:szCs w:val="16"/>
      </w:rPr>
      <w:t xml:space="preserve"> of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w:p>
    <w:pPr>
      <w:jc w:val="both"/>
      <w:pBdr>
        <w:bottom w:val="single" w:sz="8" w:space="2" w:color="A94F18"/>
      </w:pBdr>
    </w:pPr>
    <w:r>
      <w:rPr>
        <w:rFonts w:ascii="Tajawal" w:hAnsi="Tajawal" w:cs="Tajawal" w:eastAsia="Tajawal"/>
        <w:b/>
        <w:bCs/>
        <w:color w:val="7A3512"/>
        <w:sz w:val="20"/>
        <w:szCs w:val="20"/>
      </w:rPr>
      <w:t>CashLine ERP</w:t>
    </w:r>
    <w:r>
      <w:rPr>
        <w:rFonts w:ascii="Tajawal" w:hAnsi="Tajawal" w:cs="Tajawal" w:eastAsia="Tajawal"/>
        <w:color w:val="6B7280"/>
        <w:sz w:val="18"/>
        <w:szCs w:val="18"/>
      </w:rPr>
      <w:t xml:space="preserve">  |  Hosting And Cost Strategy</w:t>
    </w:r>
  </w:p>
</w:hdr>
</file>

<file path=word/settings.xml><?xml version="1.0" encoding="utf-8"?>
<w:settings xmlns:w="http://schemas.openxmlformats.org/wordprocessingml/2006/main">
  <w:updateFields w:val="true"/>
  <w:defaultTabStop w:val="720"/>
</w:settings>
</file>

<file path=word/styles.xml><?xml version="1.0" encoding="utf-8"?>
<w:styles xmlns:w="http://schemas.openxmlformats.org/wordprocessingml/2006/main">
  <w:docDefaults>
    <w:rPrDefault>
      <w:rPr>
        <w:rFonts w:ascii="Tajawal" w:hAnsi="Tajawal" w:cs="Tajawal" w:eastAsia="Tajawal"/>
        <w:sz w:val="22"/>
        <w:szCs w:val="22"/>
        <w:color w:val="1F2933"/>
      </w:rPr>
    </w:rPrDefault>
    <w:pPrDefault>
      <w:pPr>
        <w:spacing w:after="160" w:line="276" w:lineRule="auto"/>
      </w:pPr>
    </w:pPrDefault>
  </w:docDefaults>
  <w:style w:type="paragraph" w:styleId="Normal">
    <w:name w:val="Normal"/>
    <w:pPr>
      <w:spacing w:after="160" w:line="276" w:lineRule="auto"/>
    </w:pPr>
    <w:rPr>
      <w:rFonts w:ascii="Tajawal" w:hAnsi="Tajawal" w:cs="Tajawal" w:eastAsia="Tajawal"/>
      <w:sz w:val="22"/>
      <w:szCs w:val="22"/>
      <w:color w:val="1F2933"/>
    </w:rPr>
  </w:style>
  <w:style w:type="paragraph" w:styleId="BodyText">
    <w:name w:val="Body Text"/>
    <w:basedOn w:val="Normal"/>
    <w:pPr>
      <w:spacing w:after="160" w:line="276" w:lineRule="auto"/>
    </w:pPr>
    <w:rPr>
      <w:rFonts w:ascii="Tajawal" w:hAnsi="Tajawal" w:cs="Tajawal" w:eastAsia="Tajawal"/>
      <w:sz w:val="22"/>
      <w:szCs w:val="22"/>
      <w:color w:val="1F2933"/>
    </w:rPr>
  </w:style>
  <w:style w:type="paragraph" w:styleId="BrandMark">
    <w:name w:val="Brand Mark"/>
    <w:basedOn w:val="Normal"/>
    <w:pPr>
      <w:spacing w:before="320" w:after="160"/>
    </w:pPr>
    <w:rPr>
      <w:rFonts w:ascii="Tajawal" w:hAnsi="Tajawal" w:cs="Tajawal"/>
      <w:b/>
      <w:color w:val="7A3512"/>
      <w:sz w:val="34"/>
      <w:szCs w:val="34"/>
    </w:rPr>
  </w:style>
  <w:style w:type="paragraph" w:styleId="CoverTitle">
    <w:name w:val="Cover Title"/>
    <w:basedOn w:val="Normal"/>
    <w:pPr>
      <w:spacing w:before="420" w:after="180"/>
    </w:pPr>
    <w:rPr>
      <w:rFonts w:ascii="Tajawal" w:hAnsi="Tajawal" w:cs="Tajawal"/>
      <w:b/>
      <w:color w:val="1F2933"/>
      <w:sz w:val="44"/>
      <w:szCs w:val="44"/>
    </w:rPr>
  </w:style>
  <w:style w:type="paragraph" w:styleId="CoverSubtitle">
    <w:name w:val="Cover Subtitle"/>
    <w:basedOn w:val="Normal"/>
    <w:pPr>
      <w:spacing w:after="280"/>
    </w:pPr>
    <w:rPr>
      <w:rFonts w:ascii="Tajawal" w:hAnsi="Tajawal" w:cs="Tajawal"/>
      <w:color w:val="6B7280"/>
      <w:sz w:val="24"/>
      <w:szCs w:val="24"/>
    </w:rPr>
  </w:style>
  <w:style w:type="paragraph" w:styleId="Heading1">
    <w:name w:val="Heading 1"/>
    <w:basedOn w:val="Normal"/>
    <w:pPr>
      <w:keepNext/>
      <w:spacing w:before="420" w:after="180"/>
      <w:pBdr>
        <w:bottom w:val="single" w:sz="8" w:space="4" w:color="A94F18"/>
      </w:pBdr>
    </w:pPr>
    <w:rPr>
      <w:rFonts w:ascii="Tajawal" w:hAnsi="Tajawal" w:cs="Tajawal"/>
      <w:b/>
      <w:color w:val="7A3512"/>
      <w:sz w:val="30"/>
      <w:szCs w:val="30"/>
    </w:rPr>
  </w:style>
  <w:style w:type="paragraph" w:styleId="Heading2">
    <w:name w:val="Heading 2"/>
    <w:basedOn w:val="Normal"/>
    <w:pPr>
      <w:keepNext/>
      <w:spacing w:before="320" w:after="140"/>
    </w:pPr>
    <w:rPr>
      <w:rFonts w:ascii="Tajawal" w:hAnsi="Tajawal" w:cs="Tajawal"/>
      <w:b/>
      <w:color w:val="1F2933"/>
      <w:sz w:val="26"/>
      <w:szCs w:val="26"/>
    </w:rPr>
  </w:style>
  <w:style w:type="paragraph" w:styleId="Heading3">
    <w:name w:val="Heading 3"/>
    <w:basedOn w:val="Normal"/>
    <w:pPr>
      <w:keepNext/>
      <w:spacing w:before="220" w:after="100"/>
    </w:pPr>
    <w:rPr>
      <w:rFonts w:ascii="Tajawal" w:hAnsi="Tajawal" w:cs="Tajawal"/>
      <w:b/>
      <w:color w:val="A94F18"/>
      <w:sz w:val="23"/>
      <w:szCs w:val="23"/>
    </w:rPr>
  </w:style>
  <w:style w:type="paragraph" w:styleId="ListParagraph">
    <w:name w:val="List Paragraph"/>
    <w:basedOn w:val="Normal"/>
    <w:pPr>
      <w:ind w:left="360" w:hanging="180"/>
      <w:spacing w:after="80" w:line="260" w:lineRule="auto"/>
    </w:pPr>
    <w:rPr>
      <w:rFonts w:ascii="Tajawal" w:hAnsi="Tajawal" w:cs="Tajawal" w:eastAsia="Tajawal"/>
      <w:sz w:val="22"/>
      <w:szCs w:val="22"/>
      <w:color w:val="1F2933"/>
    </w:rPr>
  </w:style>
  <w:style w:type="paragraph" w:styleId="TableText">
    <w:name w:val="Table Text"/>
    <w:basedOn w:val="Normal"/>
    <w:pPr>
      <w:spacing w:after="40" w:line="240" w:lineRule="auto"/>
    </w:pPr>
    <w:rPr>
      <w:rFonts w:ascii="Tajawal" w:hAnsi="Tajawal" w:cs="Tajawal"/>
      <w:sz w:val="18"/>
      <w:szCs w:val="18"/>
      <w:color w:val="1F2933"/>
    </w:rPr>
  </w:style>
  <w:style w:type="paragraph" w:styleId="Caption">
    <w:name w:val="Caption"/>
    <w:basedOn w:val="Normal"/>
    <w:pPr>
      <w:spacing w:before="160" w:after="120"/>
    </w:pPr>
    <w:rPr>
      <w:rFonts w:ascii="Tajawal" w:hAnsi="Tajawal" w:cs="Tajawal"/>
      <w:i/>
      <w:color w:val="6B7280"/>
      <w:sz w:val="18"/>
      <w:szCs w:val="18"/>
    </w:rPr>
  </w:style>
  <w:style w:type="paragraph" w:styleId="Callout">
    <w:name w:val="Callout"/>
    <w:basedOn w:val="Normal"/>
    <w:pPr>
      <w:spacing w:before="160" w:after="80"/>
      <w:shd w:fill="FFF3EA"/>
      <w:pBdr>
        <w:left w:val="single" w:sz="12" w:space="6" w:color="A94F18"/>
      </w:pBdr>
    </w:pPr>
    <w:rPr>
      <w:rFonts w:ascii="Tajawal" w:hAnsi="Tajawal" w:cs="Tajawal"/>
      <w:b/>
      <w:color w:val="7A3512"/>
      <w:sz w:val="21"/>
      <w:szCs w:val="21"/>
    </w:rPr>
  </w:style>
  <w:style w:type="table" w:styleId="CashLineTable">
    <w:name w:val="CashLine Table"/>
    <w:tblPr>
      <w:tblCellMar>
        <w:top w:w="90" w:type="dxa"/>
        <w:left w:w="110" w:type="dxa"/>
        <w:bottom w:w="90" w:type="dxa"/>
        <w:right w:w="110" w:type="dxa"/>
      </w:tblCellMar>
    </w:tblPr>
  </w:style>
</w:styles>
</file>

<file path=word/_rels/document.xml.rels><?xml version="1.0" encoding="UTF-8" standalone="yes"?>
<Relationships xmlns="http://schemas.openxmlformats.org/package/2006/relationships">
  <Relationship Id="rIdStyles" Type="http://schemas.openxmlformats.org/officeDocument/2006/relationships/styles" Target="styles.xml"/>
  <Relationship Id="rIdSettings" Type="http://schemas.openxmlformats.org/officeDocument/2006/relationships/settings" Target="settings.xml"/>
  <Relationship Id="rIdHeader1" Type="http://schemas.openxmlformats.org/officeDocument/2006/relationships/header" Target="header1.xml"/>
  <Relationship Id="rIdFooter1"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Application>CashLine ERP Document Generator</Application>
  <DocSecurity>0</DocSecurity>
  <ScaleCrop>false</ScaleCrop>
  <Company>CashLine ERP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CashLine ERP Hosting And Cost Strategy</dc:title>
  <dc:creator>Codex</dc:creator>
  <cp:lastModifiedBy>Codex</cp:lastModifiedBy>
  <dcterms:created xsi:type="dcterms:W3CDTF">2026-04-24T10:08:52Z</dcterms:created>
  <dcterms:modified xsi:type="dcterms:W3CDTF">2026-04-24T10:08:52Z</dcterms:modified>
</cp:coreProperties>
</file>