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BrandMark"/>
        <w:jc w:val="center"/>
      </w:pPr>
      <w:r>
        <w:rPr>
          <w:rFonts w:ascii="Tajawal" w:hAnsi="Tajawal" w:cs="Tajawal" w:eastAsia="Tajawal"/>
        </w:rPr>
        <w:t xml:space="preserve">CashLine ERP</w:t>
      </w:r>
    </w:p>
    <w:p>
      <w:pPr>
        <w:pBdr>
          <w:bottom w:val="single" w:sz="12" w:space="1" w:color="A94F18"/>
        </w:pBdr>
        <w:spacing w:after="240"/>
      </w:pPr>
    </w:p>
    <w:p>
      <w:pPr>
        <w:pStyle w:val="CoverTitle"/>
        <w:jc w:val="center"/>
      </w:pPr>
      <w:r>
        <w:rPr>
          <w:rFonts w:ascii="Tajawal" w:hAnsi="Tajawal" w:cs="Tajawal" w:eastAsia="Tajawal"/>
        </w:rPr>
        <w:t xml:space="preserve">MVP Full Project Management Plan</w:t>
      </w:r>
    </w:p>
    <w:p>
      <w:pPr>
        <w:pStyle w:val="CoverSubtitle"/>
        <w:jc w:val="center"/>
      </w:pPr>
      <w:r>
        <w:rPr>
          <w:rFonts w:ascii="Tajawal" w:hAnsi="Tajawal" w:cs="Tajawal" w:eastAsia="Tajawal"/>
        </w:rPr>
        <w:t xml:space="preserve">Project Charter, WBS, CPM, Deployment, Testing, Hosting, Backup, RACI, Risks, Budget, And Approvals</w:t>
      </w:r>
    </w:p>
    <w:p>
      <w:pPr>
        <w:pStyle w:val="BodyText"/>
        <w:spacing w:after="360"/>
      </w:pP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Document 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Branded Full Project Management Deliverable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Redesigned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2026-04-24</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Khalid Gabr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Mostafa El Shahawy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Nour Elsiminy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Doaa Sabry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Start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 21 Apr 2026</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Finish</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Wednesday, 03 Jun 2026</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Typography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Tajawal</w:t>
            </w:r>
          </w:p>
        </w:tc>
      </w:tr>
    </w:tbl>
    <w:p>
      <w:pPr>
        <w:pStyle w:val="BodyText"/>
        <w:spacing w:after="120"/>
      </w:pPr>
    </w:p>
    <w:p>
      <w:pPr>
        <w:pStyle w:val="Caption"/>
        <w:jc w:val="center"/>
      </w:pPr>
      <w:r>
        <w:rPr>
          <w:rFonts w:ascii="Tajawal" w:hAnsi="Tajawal" w:cs="Tajawal" w:eastAsia="Tajawal"/>
        </w:rPr>
        <w:t xml:space="preserve">Confidential - Prepared for CashLine ERP MVP production project governance and delivery control.</w:t>
      </w:r>
    </w:p>
    <w:p>
      <w:r>
        <w:br w:type="page"/>
      </w:r>
    </w:p>
    <w:p>
      <w:pPr>
        <w:pStyle w:val="Heading1"/>
      </w:pPr>
      <w:r>
        <w:rPr>
          <w:rFonts w:ascii="Tajawal" w:hAnsi="Tajawal" w:cs="Tajawal" w:eastAsia="Tajawal"/>
        </w:rPr>
        <w:t xml:space="preserve">CPM Network Diagram</w:t>
      </w:r>
    </w:p>
    <w:p>
      <w:pPr>
        <w:pStyle w:val="BodyText"/>
      </w:pPr>
      <w:r>
        <w:rPr>
          <w:rFonts w:ascii="Tajawal" w:hAnsi="Tajawal" w:cs="Tajawal" w:eastAsia="Tajawal"/>
        </w:rPr>
        <w:t xml:space="preserve">The diagram below applies the Critical Path Method concept to the real CashLine MVP production nodes. Orange nodes represent the zero-slack critical path; blue nodes represent supporting work with float.</w:t>
      </w:r>
    </w:p>
    <w:p>
      <w:pPr>
        <w:jc w:val="center"/>
      </w:pPr>
      <w:r>
        <w:drawing>
          <wp:inline distT="0" distB="0" distL="0" distR="0">
            <wp:extent cx="9144000" cy="1524000"/>
            <wp:effectExtent l="0" t="0" r="0" b="0"/>
            <wp:docPr id="7" name="CashLine MVP CPM Network Diagram"/>
            <wp:cNvGraphicFramePr>
              <a:graphicFrameLocks noChangeAspect="1"/>
            </wp:cNvGraphicFramePr>
            <a:graphic>
              <a:graphicData uri="http://schemas.openxmlformats.org/drawingml/2006/picture">
                <pic:pic>
                  <pic:nvPicPr>
                    <pic:cNvPr id="7" name="cashline-mvp-cpm-network-diagram-2026-04-20.png"/>
                    <pic:cNvPicPr/>
                  </pic:nvPicPr>
                  <pic:blipFill>
                    <a:blip r:embed="rIdCpmDiagram"/>
                    <a:stretch>
                      <a:fillRect/>
                    </a:stretch>
                  </pic:blipFill>
                  <pic:spPr>
                    <a:xfrm>
                      <a:off x="0" y="0"/>
                      <a:ext cx="9144000" cy="1524000"/>
                    </a:xfrm>
                    <a:prstGeom prst="rect">
                      <a:avLst/>
                    </a:prstGeom>
                  </pic:spPr>
                </pic:pic>
              </a:graphicData>
            </a:graphic>
          </wp:inline>
        </w:drawing>
      </w:r>
    </w:p>
    <w:p>
      <w:r>
        <w:br w:type="page"/>
      </w:r>
    </w:p>
    <w:p>
      <w:pPr>
        <w:pStyle w:val="Heading2"/>
      </w:pPr>
      <w:r>
        <w:rPr>
          <w:rFonts w:ascii="Tajawal" w:hAnsi="Tajawal" w:cs="Tajawal" w:eastAsia="Tajawal"/>
        </w:rPr>
        <w:t xml:space="preserve">1. Executive Summary</w:t>
      </w:r>
    </w:p>
    <w:p>
      <w:pPr>
        <w:pStyle w:val="BodyText"/>
      </w:pPr>
      <w:r>
        <w:rPr>
          <w:rFonts w:ascii="Tajawal" w:hAnsi="Tajawal" w:cs="Tajawal" w:eastAsia="Tajawal"/>
        </w:rPr>
        <w:t xml:space="preserve">This document is the integrated project-management plan for the CashLine ERP controlled production MVP. It combines the project charter, Work Breakdown Structure, CPM schedule, dependency nodes, critical path calculation, deployment strategy, testing strategy, hosting strategy, backup/recovery controls, business visit plan, governance model, RACI, risks, budget framework, success criteria, and approval matrix into one professional project-control document.</w:t>
      </w:r>
    </w:p>
    <w:p>
      <w:pPr>
        <w:pStyle w:val="BodyText"/>
      </w:pPr>
      <w:r>
        <w:rPr>
          <w:rFonts w:ascii="Tajawal" w:hAnsi="Tajawal" w:cs="Tajawal" w:eastAsia="Tajawal"/>
        </w:rPr>
        <w:t xml:space="preserve">The plan authorizes and organizes the work required to move CashLine ERP from implementation readiness into controlled production MVP, while protecting scope, data quality, role governance, testing evidence, backup/recovery readiness, deployment discipline, and stakeholder confidence.</w:t>
      </w:r>
    </w:p>
    <w:p>
      <w:pPr>
        <w:pStyle w:val="Callout"/>
      </w:pPr>
      <w:r>
        <w:rPr>
          <w:rFonts w:ascii="Tajawal" w:hAnsi="Tajawal" w:cs="Tajawal" w:eastAsia="Tajawal"/>
        </w:rPr>
        <w:t xml:space="preserve">Explicit change highlight:</w:t>
      </w:r>
    </w:p>
    <w:p>
      <w:pPr>
        <w:pStyle w:val="BodyText"/>
      </w:pPr>
      <w:r>
        <w:rPr>
          <w:rFonts w:ascii="Tajawal" w:hAnsi="Tajawal" w:cs="Tajawal" w:eastAsia="Tajawal"/>
        </w:rPr>
        <w:t xml:space="preserve">This project-management baseline is now updated to include the new </w:t>
      </w:r>
      <w:r>
        <w:rPr>
          <w:rFonts w:ascii="Tajawal" w:hAnsi="Tajawal" w:cs="Tajawal" w:eastAsia="Tajawal"/>
          <w:color w:val="7A3512"/>
          <w:sz w:val="20"/>
          <w:szCs w:val="20"/>
        </w:rPr>
        <w:t xml:space="preserve">ACCOUNTING_OFFICE</w:t>
      </w:r>
      <w:r>
        <w:rPr>
          <w:rFonts w:ascii="Tajawal" w:hAnsi="Tajawal" w:cs="Tajawal" w:eastAsia="Tajawal"/>
        </w:rPr>
        <w:t xml:space="preserve"> module in the controlled MVP scope. The change affects business scope, role governance, onboarding coverage, delegated client servicing, ETA/government submission scope, testing, hosting assumptions, and release-readiness criteria.</w:t>
      </w:r>
    </w:p>
    <w:p>
      <w:pPr>
        <w:pStyle w:val="Heading2"/>
      </w:pPr>
      <w:r>
        <w:rPr>
          <w:rFonts w:ascii="Tajawal" w:hAnsi="Tajawal" w:cs="Tajawal" w:eastAsia="Tajawal"/>
        </w:rPr>
        <w:t xml:space="preserve">2. Project Charter</w:t>
      </w:r>
    </w:p>
    <w:p>
      <w:pPr>
        <w:pStyle w:val="Heading3"/>
      </w:pPr>
      <w:r>
        <w:rPr>
          <w:rFonts w:ascii="Tajawal" w:hAnsi="Tajawal" w:cs="Tajawal" w:eastAsia="Tajawal"/>
        </w:rPr>
        <w:t xml:space="preserve">2.1 Project Identification</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title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CashLine ERP Controlled Production MVP Implementation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Khalid Gabr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Mostafa El Shahawy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Nour Elsiminy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Doaa Sabry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customer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SMEs, business owners, key users, supplier users, customer users, internal operations users, administrators, and system owner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New governed segment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 offices acting as approved CashLine-operated service users for themselves and assigned clients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release model</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MVP</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start date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 21 Apr 2026</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finish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Wednesday, 03 Jun 2026</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CPM duration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 business days using Sunday-Thursday working week</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recommendation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 / DNS / WAF -&gt; Azure App Service or Azure Container Apps -&gt; Azure SQL Database -&gt; Azure Blob Storage -&gt; Azure Monitor</w:t>
            </w:r>
          </w:p>
        </w:tc>
      </w:tr>
    </w:tbl>
    <w:p>
      <w:pPr>
        <w:pStyle w:val="BodyText"/>
        <w:spacing w:after="120"/>
      </w:pPr>
    </w:p>
    <w:p>
      <w:pPr>
        <w:pStyle w:val="Heading3"/>
      </w:pPr>
      <w:r>
        <w:rPr>
          <w:rFonts w:ascii="Tajawal" w:hAnsi="Tajawal" w:cs="Tajawal" w:eastAsia="Tajawal"/>
        </w:rPr>
        <w:t xml:space="preserve">2.2 Project Purpose</w:t>
      </w:r>
    </w:p>
    <w:p>
      <w:pPr>
        <w:pStyle w:val="BodyText"/>
      </w:pPr>
      <w:r>
        <w:rPr>
          <w:rFonts w:ascii="Tajawal" w:hAnsi="Tajawal" w:cs="Tajawal" w:eastAsia="Tajawal"/>
        </w:rPr>
        <w:t xml:space="preserve">The purpose of this project is to prepare, validate, deploy, and stabilize the CashLine ERP platform as a controlled production MVP. The project will move the system into a governed production operating model with controlled users, production hosting, staging validation, deployment discipline, database loading controls, backup/recovery safeguards, role-based access, reporting/export readiness, and hypercare support.</w:t>
      </w:r>
    </w:p>
    <w:p>
      <w:pPr>
        <w:pStyle w:val="Heading3"/>
      </w:pPr>
      <w:r>
        <w:rPr>
          <w:rFonts w:ascii="Tajawal" w:hAnsi="Tajawal" w:cs="Tajawal" w:eastAsia="Tajawal"/>
        </w:rPr>
        <w:t xml:space="preserve">2.3 Business Objectives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Objective</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activation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Launch CashLine ERP as a limited, governed production MVP for approved users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credibility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Ensure the system appears and behaves as a live operational platform</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continuity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that user actions trigger workflow, notification, audit, and reporting effects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Access governance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Enforce System Owner, Administrator, supplier, customer, and internal role restrictions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rollout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governed accounting-office onboarding, client onboarding submission, and delegated approved-client servicing under CashLine Operations control</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discipline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Establish Development, QA, Staging/Pre-production, Production MVP, Stabilization, and Wider rollout controls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readiness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 a reliable and cost-efficient Cloudflare + Azure hosting model</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 readiness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Separate production runtime from backup/recovery capability and prove restore readiness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 completion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Execute functional, API, UI, role, workflow, database, desktop, reporting, negative, and smoke testing</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Stabilization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Operate hypercare after go-live and resolve production-impacting findings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readiness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whether the MVP can expand to more users, functions, clients, and transaction volume</w:t>
            </w:r>
          </w:p>
        </w:tc>
      </w:tr>
    </w:tbl>
    <w:p>
      <w:pPr>
        <w:pStyle w:val="BodyText"/>
        <w:spacing w:after="120"/>
      </w:pPr>
    </w:p>
    <w:p>
      <w:pPr>
        <w:pStyle w:val="Heading2"/>
      </w:pPr>
      <w:r>
        <w:rPr>
          <w:rFonts w:ascii="Tajawal" w:hAnsi="Tajawal" w:cs="Tajawal" w:eastAsia="Tajawal"/>
        </w:rPr>
        <w:t xml:space="preserve">3. Scope Management</w:t>
      </w:r>
    </w:p>
    <w:p>
      <w:pPr>
        <w:pStyle w:val="Heading3"/>
      </w:pPr>
      <w:r>
        <w:rPr>
          <w:rFonts w:ascii="Tajawal" w:hAnsi="Tajawal" w:cs="Tajawal" w:eastAsia="Tajawal"/>
        </w:rPr>
        <w:t xml:space="preserve">3.1 In Scope</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Scope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Included Work</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MVP planning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Finalize release gates, approval criteria, environment strategy, and deployment path</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setup</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Cloudflare and Azure target hosting model</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Staging/pre-production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 production-like validation environment before production deployment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environment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clean production configuration, database, users, access, and monitoring</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Define and validate database backups, pre-release backups, document protection, release archives, and restore drills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pipeline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Establish controlled build, deployment, validation, and approval flow</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preparation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Apply migrations, seed data, reference data, production data rules, and test-load controls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Execute MVP test coverage across user journeys, APIs, workflows, permissions, reports, exports, and desktop parity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governance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System Owner and Administrator behavior and user/function administration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governance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accounting-office onboarding, office/client assignment, and delegated approved-client access controls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Supplier/customer journeys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onboarding, activation, document flow, status, notifications, and reporting impact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operations journeys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review, approve, reject, return, hold, reopen, and audit behavior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and exports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MVP reports and PDF/Excel export capability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parity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desktop behavior matches web/backend production rules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 production usage, triage issues, and report stabilization status</w:t>
            </w:r>
          </w:p>
        </w:tc>
      </w:tr>
    </w:tbl>
    <w:p>
      <w:pPr>
        <w:pStyle w:val="BodyText"/>
        <w:spacing w:after="120"/>
      </w:pPr>
    </w:p>
    <w:p>
      <w:pPr>
        <w:pStyle w:val="Heading3"/>
      </w:pPr>
      <w:r>
        <w:rPr>
          <w:rFonts w:ascii="Tajawal" w:hAnsi="Tajawal" w:cs="Tajawal" w:eastAsia="Tajawal"/>
        </w:rPr>
        <w:t xml:space="preserve">3.2 Out Of Scope</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Excluded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Notes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Full enterprise go-live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This plan covers controlled MVP production only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Full Islamic Finance production launch</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Deferred until scoring, Shariah, lender, settlement, and regulatory controls are completed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Automated credit decisioning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 part of MVP production cutover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Live iScore or external bureau integration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Future work subject to official membership, consent, legal approval, and technical access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Oracle production parity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 included unless separately approved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Unqualified payment/tax authority live integrations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External integrations must pass owner qualification before activation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Broad public user rollout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follows stabilization sign-off</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Major feature redesign during cutover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requests must go through release governance</w:t>
            </w:r>
          </w:p>
        </w:tc>
      </w:tr>
    </w:tbl>
    <w:p>
      <w:pPr>
        <w:pStyle w:val="BodyText"/>
        <w:spacing w:after="120"/>
      </w:pPr>
    </w:p>
    <w:p>
      <w:pPr>
        <w:pStyle w:val="Heading2"/>
      </w:pPr>
      <w:r>
        <w:rPr>
          <w:rFonts w:ascii="Tajawal" w:hAnsi="Tajawal" w:cs="Tajawal" w:eastAsia="Tajawal"/>
        </w:rPr>
        <w:t xml:space="preserve">4. Stakeholder And Team Management</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Stakeholder / Team</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Role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Responsibilities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Khalid Gabr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 Executive Owner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scope approval, financial governance, release authority, strategic direction, final go-live decision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Mostafa El Shahawy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planning, coordination, timeline tracking, risk management, stakeholder communication, release governance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Nour Elsiminy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readiness, hosting, deployment, database, performance, security, bug fixing, production support</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Doaa Sabry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validation, user journey mapping, UAT coordination, documentation, sign-off support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Founders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Executive Leadership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ROI, brand reputation, long-term scalability, commercial credibility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team</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Support / Engineering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setup, implementation, bug fixing, performance optimization, release support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Implementation team</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Service / Enablement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onboarding, training, support, go-live assistance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Client stakeholders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End users / key users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Requirements confirmation, test execution, feedback, acceptance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Marketing and Sales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Growth</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Convert MVP readiness into client-facing confidence and sales enablement</w:t>
            </w:r>
          </w:p>
        </w:tc>
      </w:tr>
    </w:tbl>
    <w:p>
      <w:pPr>
        <w:pStyle w:val="BodyText"/>
        <w:spacing w:after="120"/>
      </w:pPr>
    </w:p>
    <w:p>
      <w:pPr>
        <w:pStyle w:val="Heading2"/>
      </w:pPr>
      <w:r>
        <w:rPr>
          <w:rFonts w:ascii="Tajawal" w:hAnsi="Tajawal" w:cs="Tajawal" w:eastAsia="Tajawal"/>
        </w:rPr>
        <w:t xml:space="preserve">5. Work Breakdown Structure</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Workstream</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Objective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governance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Authorize, control, and communicate the MVP production project</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and infrastructure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Cloudflare and Azure target hosting stack</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pipeline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repeatable build, package, release, and approval flow</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and data loading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migrations, seed data, test data, and production data rules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Testing and QA</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functional, API, UI, workflow, access, reporting, and desktop behavior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Staging/UAT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Rehearse production deployment and obtain business sign-off</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cutover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 the controlled production MVP and activate approved users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and stabilization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 support, triage, and stabilize production MVP usage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Decide whether to expand beyond controlled MVP</w:t>
            </w:r>
          </w:p>
        </w:tc>
      </w:tr>
    </w:tbl>
    <w:p>
      <w:pPr>
        <w:pStyle w:val="BodyText"/>
        <w:spacing w:after="120"/>
      </w:pPr>
    </w:p>
    <w:p>
      <w:pPr>
        <w:pStyle w:val="Heading3"/>
      </w:pPr>
      <w:r>
        <w:rPr>
          <w:rFonts w:ascii="Tajawal" w:hAnsi="Tajawal" w:cs="Tajawal" w:eastAsia="Tajawal"/>
        </w:rPr>
        <w:t xml:space="preserve">5.1 Detailed WBS Work Packages</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Charter approval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 Project Manager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charter</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freeze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Business Analysis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Frozen MVP scope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Governance cadence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Governance calendar</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and issue control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and issue log</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control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register</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setup</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environment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2.2</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backend hosting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 runtime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2.3</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setup</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SQL environments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2.4</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Blob Storage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Storage containers</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2.5</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 setup</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 dashboard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Budget alerts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Project Manager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Cost guardrails</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Build preparation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Build checklist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package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package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3.3</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Environment configuration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Config baseline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3.4</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approval gate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Approval workflow</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3.5</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Rollback package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Rollback pack</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baseline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package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Reference data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Reference data set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 data pack</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Business Analysis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 data scripts</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seed and assignment model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Business Analysis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Office/client governance baseline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data rules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data checklist</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before migration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evidence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Functional UAT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 / QA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evidence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testing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QA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test evidence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testing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evidence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Role/access testing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Access matrix</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UI/UX testing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Business Analysis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UI evidence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5.6</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Reporting/export testing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evidence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5.7</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Negative testing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Negative test record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5.8</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Smoke testing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Smoke test record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5.9</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governed-role testing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Business Analysis / 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evidence pack</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6.1</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deployment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deployment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6.2</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data load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QA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data state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6.3</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walkthrough</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Walkthrough notes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6.4</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sign-off</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Business Analysis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sign-off</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6.5</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readiness gate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Sponsor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Go/no-go record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freeze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Freeze notice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Pre-release backup</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evidence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deployment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release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smoke test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Smoke result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user activation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Activation log</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8.1</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monitoring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 log</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8.2</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Issue triage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Issue log</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8.3</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support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Implementation team</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record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8.4</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drill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QA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evidence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8.5</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Stabilization report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report</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9.1</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results review</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Sponsor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review</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9.2</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Cost review</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Cost review</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9.3</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review</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update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9.4</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recommendation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Recommendation</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9.5</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Executive decision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Decision record</w:t>
            </w:r>
          </w:p>
        </w:tc>
      </w:tr>
    </w:tbl>
    <w:p>
      <w:pPr>
        <w:pStyle w:val="BodyText"/>
        <w:spacing w:after="120"/>
      </w:pPr>
    </w:p>
    <w:p>
      <w:pPr>
        <w:pStyle w:val="Heading2"/>
      </w:pPr>
      <w:r>
        <w:rPr>
          <w:rFonts w:ascii="Tajawal" w:hAnsi="Tajawal" w:cs="Tajawal" w:eastAsia="Tajawal"/>
        </w:rPr>
        <w:t xml:space="preserve">6. Schedule Management And CPM</w:t>
      </w:r>
    </w:p>
    <w:p>
      <w:pPr>
        <w:pStyle w:val="Heading3"/>
      </w:pPr>
      <w:r>
        <w:rPr>
          <w:rFonts w:ascii="Tajawal" w:hAnsi="Tajawal" w:cs="Tajawal" w:eastAsia="Tajawal"/>
        </w:rPr>
        <w:t xml:space="preserve">6.1 CPM Network Diagram Concept</w:t>
      </w:r>
    </w:p>
    <w:p>
      <w:pPr>
        <w:pStyle w:val="BodyText"/>
      </w:pPr>
      <w:r>
        <w:rPr>
          <w:rFonts w:ascii="Tajawal" w:hAnsi="Tajawal" w:cs="Tajawal" w:eastAsia="Tajawal"/>
        </w:rPr>
        <w:t xml:space="preserve">The project-management plan includes a CPM network diagram concept based on the CashLine MVP production dependency nodes. The diagram should be read as follows:</w:t>
      </w:r>
    </w:p>
    <w:p>
      <w:pPr>
        <w:pStyle w:val="ListParagraph"/>
      </w:pPr>
      <w:r>
        <w:rPr>
          <w:rFonts w:ascii="Tajawal" w:hAnsi="Tajawal" w:cs="Tajawal" w:eastAsia="Tajawal"/>
          <w:color w:val="7A3512"/>
          <w:sz w:val="22"/>
          <w:szCs w:val="22"/>
        </w:rPr>
        <w:t>• </w:t>
      </w:r>
      <w:r>
        <w:rPr>
          <w:rFonts w:ascii="Tajawal" w:hAnsi="Tajawal" w:cs="Tajawal" w:eastAsia="Tajawal"/>
        </w:rPr>
        <w:t xml:space="preserve">each activity node shows task ID, duration, early start, early finish, late start, late finish, and slack</w:t>
      </w:r>
    </w:p>
    <w:p>
      <w:pPr>
        <w:pStyle w:val="ListParagraph"/>
      </w:pPr>
      <w:r>
        <w:rPr>
          <w:rFonts w:ascii="Tajawal" w:hAnsi="Tajawal" w:cs="Tajawal" w:eastAsia="Tajawal"/>
          <w:color w:val="7A3512"/>
          <w:sz w:val="22"/>
          <w:szCs w:val="22"/>
        </w:rPr>
        <w:t>• </w:t>
      </w:r>
      <w:r>
        <w:rPr>
          <w:rFonts w:ascii="Tajawal" w:hAnsi="Tajawal" w:cs="Tajawal" w:eastAsia="Tajawal"/>
        </w:rPr>
        <w:t xml:space="preserve">orange nodes and arrows represent the zero-slack critical path</w:t>
      </w:r>
    </w:p>
    <w:p>
      <w:pPr>
        <w:pStyle w:val="ListParagraph"/>
      </w:pPr>
      <w:r>
        <w:rPr>
          <w:rFonts w:ascii="Tajawal" w:hAnsi="Tajawal" w:cs="Tajawal" w:eastAsia="Tajawal"/>
          <w:color w:val="7A3512"/>
          <w:sz w:val="22"/>
          <w:szCs w:val="22"/>
        </w:rPr>
        <w:t>• </w:t>
      </w:r>
      <w:r>
        <w:rPr>
          <w:rFonts w:ascii="Tajawal" w:hAnsi="Tajawal" w:cs="Tajawal" w:eastAsia="Tajawal"/>
        </w:rPr>
        <w:t xml:space="preserve">blue nodes and arrows represent non-critical supporting work with available float</w:t>
      </w:r>
    </w:p>
    <w:p>
      <w:pPr>
        <w:pStyle w:val="ListParagraph"/>
      </w:pPr>
      <w:r>
        <w:rPr>
          <w:rFonts w:ascii="Tajawal" w:hAnsi="Tajawal" w:cs="Tajawal" w:eastAsia="Tajawal"/>
          <w:color w:val="7A3512"/>
          <w:sz w:val="22"/>
          <w:szCs w:val="22"/>
        </w:rPr>
        <w:t>• </w:t>
      </w:r>
      <w:r>
        <w:rPr>
          <w:rFonts w:ascii="Tajawal" w:hAnsi="Tajawal" w:cs="Tajawal" w:eastAsia="Tajawal"/>
        </w:rPr>
        <w:t xml:space="preserve">the current critical path duration is 32 business days</w:t>
      </w:r>
    </w:p>
    <w:p>
      <w:pPr>
        <w:pStyle w:val="ListParagraph"/>
      </w:pPr>
      <w:r>
        <w:rPr>
          <w:rFonts w:ascii="Tajawal" w:hAnsi="Tajawal" w:cs="Tajawal" w:eastAsia="Tajawal"/>
          <w:color w:val="7A3512"/>
          <w:sz w:val="22"/>
          <w:szCs w:val="22"/>
        </w:rPr>
        <w:t>• </w:t>
      </w:r>
      <w:r>
        <w:rPr>
          <w:rFonts w:ascii="Tajawal" w:hAnsi="Tajawal" w:cs="Tajawal" w:eastAsia="Tajawal"/>
        </w:rPr>
        <w:t xml:space="preserve">the planned schedule runs from Tuesday, 21 Apr 2026 to Wednesday, 03 Jun 2026</w:t>
      </w:r>
    </w:p>
    <w:p>
      <w:pPr>
        <w:pStyle w:val="Callout"/>
      </w:pPr>
      <w:r>
        <w:rPr>
          <w:rFonts w:ascii="Tajawal" w:hAnsi="Tajawal" w:cs="Tajawal" w:eastAsia="Tajawal"/>
        </w:rPr>
        <w:t xml:space="preserve">Diagram asset for the Cloudflare package:</w:t>
      </w:r>
    </w:p>
    <w:p>
      <w:pPr>
        <w:pStyle w:val="BodyText"/>
      </w:pPr>
      <w:r>
        <w:rPr>
          <w:rFonts w:ascii="Tajawal" w:hAnsi="Tajawal" w:cs="Tajawal" w:eastAsia="Tajawal"/>
          <w:color w:val="7A3512"/>
          <w:sz w:val="20"/>
          <w:szCs w:val="20"/>
        </w:rPr>
        <w:t xml:space="preserve">assets/cashline-mvp-cpm-network-diagram-2026-04-20.svg</w:t>
      </w:r>
    </w:p>
    <w:p>
      <w:pPr>
        <w:pStyle w:val="Heading3"/>
      </w:pPr>
      <w:r>
        <w:rPr>
          <w:rFonts w:ascii="Tajawal" w:hAnsi="Tajawal" w:cs="Tajawal" w:eastAsia="Tajawal"/>
        </w:rPr>
        <w:t xml:space="preserve">6.2 Dependency Nodes</w:t>
      </w:r>
    </w:p>
    <w:tbl>
      <w:tblPr>
        <w:tblStyle w:val="CashLineTable"/>
        <w:tblW w:w="0" w:type="auto"/>
        <w:tblLook w:val="04A0"/>
      </w:tblPr>
      <w:tblGrid>
        <w:gridCol w:w="1504"/>
        <w:gridCol w:w="1504"/>
        <w:gridCol w:w="1504"/>
        <w:gridCol w:w="1504"/>
        <w:gridCol w:w="1504"/>
        <w:gridCol w:w="1504"/>
      </w:tblGrid>
      <w:tr>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Node</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Activity</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Duration</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Dependencies</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Planned Start</w:t>
            </w:r>
          </w:p>
        </w:tc>
        <w:tc>
          <w:tcPr>
            <w:tcW w:w="15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Planned Finish</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charter approval and governance kickoff</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None</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 Apr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scope freeze and release baseline confirmation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22 Apr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23 Apr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account, Cloudflare, Azure, DNS, and environment provisioning</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28 Apr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 model and restore-drill plan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27 Apr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CI/CD pipeline and deployment package preparation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28 Apr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migration, seed, and production data-load preparation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28 Apr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QA/staging test-data pack preparation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27 Apr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system, API, workflow, UI, desktop, and reporting regression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 F, G</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29 Apr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 role, function, and access-control review</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 E, F</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29 Apr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May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J</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Staging/pre-production deployment rehearsal</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 D, E, F, H, I</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06 May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07 May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UAT and business sign-off</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J</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May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 May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readiness gate and go/no-go approval</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 May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 May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backup and cutover preparation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 May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 May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deployment and database migration</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 May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 May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smoke test and MVP user activation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r>
      <w:tr>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stabilization window</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 May 2026</w:t>
            </w:r>
          </w:p>
        </w:tc>
        <w:tc>
          <w:tcPr>
            <w:tcW w:w="15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02 Jun 2026</w:t>
            </w:r>
          </w:p>
        </w:tc>
      </w:tr>
      <w:tr>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 and closure report</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Jun 2026</w:t>
            </w:r>
          </w:p>
        </w:tc>
        <w:tc>
          <w:tcPr>
            <w:tcW w:w="15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Jun 2026</w:t>
            </w:r>
          </w:p>
        </w:tc>
      </w:tr>
    </w:tbl>
    <w:p>
      <w:pPr>
        <w:pStyle w:val="BodyText"/>
        <w:spacing w:after="120"/>
      </w:pPr>
    </w:p>
    <w:p>
      <w:pPr>
        <w:pStyle w:val="Heading3"/>
      </w:pPr>
      <w:r>
        <w:rPr>
          <w:rFonts w:ascii="Tajawal" w:hAnsi="Tajawal" w:cs="Tajawal" w:eastAsia="Tajawal"/>
        </w:rPr>
        <w:t xml:space="preserve">6.3 Critical Path Calculation</w:t>
      </w:r>
    </w:p>
    <w:tbl>
      <w:tblPr>
        <w:tblStyle w:val="CashLineTable"/>
        <w:tblW w:w="0" w:type="auto"/>
        <w:tblLook w:val="04A0"/>
      </w:tblPr>
      <w:tblGrid>
        <w:gridCol w:w="1200"/>
        <w:gridCol w:w="1200"/>
        <w:gridCol w:w="1200"/>
        <w:gridCol w:w="1200"/>
        <w:gridCol w:w="1200"/>
        <w:gridCol w:w="1200"/>
        <w:gridCol w:w="1200"/>
        <w:gridCol w:w="1200"/>
      </w:tblGrid>
      <w:tr>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Node</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Duration</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ES</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EF</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LS</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LF</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Float</w:t>
            </w:r>
          </w:p>
        </w:tc>
        <w:tc>
          <w:tcPr>
            <w:tcW w:w="1200"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Critical</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J</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w:t>
            </w:r>
          </w:p>
        </w:tc>
        <w:tc>
          <w:tcPr>
            <w:tcW w:w="1200"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bl>
    <w:p>
      <w:pPr>
        <w:pStyle w:val="BodyText"/>
        <w:spacing w:after="120"/>
      </w:pPr>
    </w:p>
    <w:p>
      <w:pPr>
        <w:pStyle w:val="Callout"/>
      </w:pPr>
      <w:r>
        <w:rPr>
          <w:rFonts w:ascii="Tajawal" w:hAnsi="Tajawal" w:cs="Tajawal" w:eastAsia="Tajawal"/>
        </w:rPr>
        <w:t xml:space="preserve">Critical path:</w:t>
      </w:r>
    </w:p>
    <w:p>
      <w:pPr>
        <w:pStyle w:val="BodyText"/>
      </w:pPr>
      <w:r>
        <w:rPr>
          <w:rFonts w:ascii="Tajawal" w:hAnsi="Tajawal" w:cs="Tajawal" w:eastAsia="Tajawal"/>
          <w:b/>
          <w:bCs/>
        </w:rPr>
        <w:t xml:space="preserve">A -&gt; B -&gt; E/F -&gt; H -&gt; J -&gt; K -&gt; L -&gt; M -&gt; N -&gt; O -&gt; P -&gt; Q</w:t>
      </w:r>
    </w:p>
    <w:p>
      <w:pPr>
        <w:pStyle w:val="Callout"/>
      </w:pPr>
      <w:r>
        <w:rPr>
          <w:rFonts w:ascii="Tajawal" w:hAnsi="Tajawal" w:cs="Tajawal" w:eastAsia="Tajawal"/>
        </w:rPr>
        <w:t xml:space="preserve">Total duration:</w:t>
      </w:r>
    </w:p>
    <w:p>
      <w:pPr>
        <w:pStyle w:val="BodyText"/>
      </w:pPr>
      <w:r>
        <w:rPr>
          <w:rFonts w:ascii="Tajawal" w:hAnsi="Tajawal" w:cs="Tajawal" w:eastAsia="Tajawal"/>
          <w:b/>
          <w:bCs/>
        </w:rPr>
        <w:t xml:space="preserve">32 business days, from Tuesday 21 Apr 2026 to Wednesday 03 Jun 2026</w:t>
      </w:r>
    </w:p>
    <w:p>
      <w:pPr>
        <w:pStyle w:val="Heading2"/>
      </w:pPr>
      <w:r>
        <w:rPr>
          <w:rFonts w:ascii="Tajawal" w:hAnsi="Tajawal" w:cs="Tajawal" w:eastAsia="Tajawal"/>
        </w:rPr>
        <w:t xml:space="preserve">7. Milestone Management</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Milestone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Date / Window</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Acceptance Criteria</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Charter approved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 Apr 2026</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Sponsor and project manager approval captured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scope frozen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22 Apr 2026 - 23 Apr 2026</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exclusions, release baseline, and success criteria confirmed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and infrastructure ready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2026 - 28 Apr 2026</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Cloudflare/Azure environment path confirmed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Pipeline and database ready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2026 - 28 Apr 2026</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package and migration path ready</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regression complete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29 Apr 2026 - 05 May 2026</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API, workflow, UI, role, desktop, and reporting tests completed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deployed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06 May 2026 - 07 May 2026</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Production-like rehearsal complete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signed off</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May 2026 - 13 May 2026</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confirms staging readiness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governed path signed off</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May 2026 - 13 May 2026</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onboarding and delegated approved-client path validated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go/no-go</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 May 2026</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owner approves cutover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18 May 2026</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package deployed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smoke passed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paths pass in production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complete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02 Jun 2026</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issues closed or controlled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Jun 2026</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Executive decision recorded</w:t>
            </w:r>
          </w:p>
        </w:tc>
      </w:tr>
    </w:tbl>
    <w:p>
      <w:pPr>
        <w:pStyle w:val="BodyText"/>
        <w:spacing w:after="120"/>
      </w:pPr>
    </w:p>
    <w:p>
      <w:pPr>
        <w:pStyle w:val="Heading2"/>
      </w:pPr>
      <w:r>
        <w:rPr>
          <w:rFonts w:ascii="Tajawal" w:hAnsi="Tajawal" w:cs="Tajawal" w:eastAsia="Tajawal"/>
        </w:rPr>
        <w:t xml:space="preserve">8. Deployment Management</w:t>
      </w:r>
    </w:p>
    <w:p>
      <w:pPr>
        <w:pStyle w:val="Callout"/>
      </w:pPr>
      <w:r>
        <w:rPr>
          <w:rFonts w:ascii="Tajawal" w:hAnsi="Tajawal" w:cs="Tajawal" w:eastAsia="Tajawal"/>
        </w:rPr>
        <w:t xml:space="preserve">The deployment model follows:</w:t>
      </w:r>
    </w:p>
    <w:p>
      <w:pPr>
        <w:pStyle w:val="BodyText"/>
      </w:pPr>
      <w:r>
        <w:rPr>
          <w:rFonts w:ascii="Tajawal" w:hAnsi="Tajawal" w:cs="Tajawal" w:eastAsia="Tajawal"/>
          <w:b/>
          <w:bCs/>
        </w:rPr>
        <w:t xml:space="preserve">Development -&gt; QA -&gt; Staging/Pre-production -&gt; Controlled Production MVP -&gt; Stabilization -&gt; Wider rollout</w:t>
      </w:r>
    </w:p>
    <w:p>
      <w:pPr>
        <w:pStyle w:val="Callout"/>
      </w:pPr>
      <w:r>
        <w:rPr>
          <w:rFonts w:ascii="Tajawal" w:hAnsi="Tajawal" w:cs="Tajawal" w:eastAsia="Tajawal"/>
        </w:rPr>
        <w:t xml:space="preserve">Deployment rules:</w:t>
      </w:r>
    </w:p>
    <w:p>
      <w:pPr>
        <w:pStyle w:val="ListParagraph"/>
      </w:pPr>
      <w:r>
        <w:rPr>
          <w:rFonts w:ascii="Tajawal" w:hAnsi="Tajawal" w:cs="Tajawal" w:eastAsia="Tajawal"/>
          <w:color w:val="7A3512"/>
          <w:sz w:val="22"/>
          <w:szCs w:val="22"/>
        </w:rPr>
        <w:t>• </w:t>
      </w:r>
      <w:r>
        <w:rPr>
          <w:rFonts w:ascii="Tajawal" w:hAnsi="Tajawal" w:cs="Tajawal" w:eastAsia="Tajawal"/>
        </w:rPr>
        <w:t xml:space="preserve">No direct production change without staging rehearsal.</w:t>
      </w:r>
    </w:p>
    <w:p>
      <w:pPr>
        <w:pStyle w:val="ListParagraph"/>
      </w:pPr>
      <w:r>
        <w:rPr>
          <w:rFonts w:ascii="Tajawal" w:hAnsi="Tajawal" w:cs="Tajawal" w:eastAsia="Tajawal"/>
          <w:color w:val="7A3512"/>
          <w:sz w:val="22"/>
          <w:szCs w:val="22"/>
        </w:rPr>
        <w:t>• </w:t>
      </w:r>
      <w:r>
        <w:rPr>
          <w:rFonts w:ascii="Tajawal" w:hAnsi="Tajawal" w:cs="Tajawal" w:eastAsia="Tajawal"/>
        </w:rPr>
        <w:t xml:space="preserve">No production deployment without pre-release backup.</w:t>
      </w:r>
    </w:p>
    <w:p>
      <w:pPr>
        <w:pStyle w:val="ListParagraph"/>
      </w:pPr>
      <w:r>
        <w:rPr>
          <w:rFonts w:ascii="Tajawal" w:hAnsi="Tajawal" w:cs="Tajawal" w:eastAsia="Tajawal"/>
          <w:color w:val="7A3512"/>
          <w:sz w:val="22"/>
          <w:szCs w:val="22"/>
        </w:rPr>
        <w:t>• </w:t>
      </w:r>
      <w:r>
        <w:rPr>
          <w:rFonts w:ascii="Tajawal" w:hAnsi="Tajawal" w:cs="Tajawal" w:eastAsia="Tajawal"/>
        </w:rPr>
        <w:t xml:space="preserve">No UAT/demo records in production.</w:t>
      </w:r>
    </w:p>
    <w:p>
      <w:pPr>
        <w:pStyle w:val="ListParagraph"/>
      </w:pPr>
      <w:r>
        <w:rPr>
          <w:rFonts w:ascii="Tajawal" w:hAnsi="Tajawal" w:cs="Tajawal" w:eastAsia="Tajawal"/>
          <w:color w:val="7A3512"/>
          <w:sz w:val="22"/>
          <w:szCs w:val="22"/>
        </w:rPr>
        <w:t>• </w:t>
      </w:r>
      <w:r>
        <w:rPr>
          <w:rFonts w:ascii="Tajawal" w:hAnsi="Tajawal" w:cs="Tajawal" w:eastAsia="Tajawal"/>
        </w:rPr>
        <w:t xml:space="preserve">No production launch without role/access validation.</w:t>
      </w:r>
    </w:p>
    <w:p>
      <w:pPr>
        <w:pStyle w:val="ListParagraph"/>
      </w:pPr>
      <w:r>
        <w:rPr>
          <w:rFonts w:ascii="Tajawal" w:hAnsi="Tajawal" w:cs="Tajawal" w:eastAsia="Tajawal"/>
          <w:color w:val="7A3512"/>
          <w:sz w:val="22"/>
          <w:szCs w:val="22"/>
        </w:rPr>
        <w:t>• </w:t>
      </w:r>
      <w:r>
        <w:rPr>
          <w:rFonts w:ascii="Tajawal" w:hAnsi="Tajawal" w:cs="Tajawal" w:eastAsia="Tajawal"/>
        </w:rPr>
        <w:t xml:space="preserve">No wider rollout before stabilization sign-off.</w:t>
      </w:r>
    </w:p>
    <w:p>
      <w:pPr>
        <w:pStyle w:val="ListParagraph"/>
      </w:pPr>
      <w:r>
        <w:rPr>
          <w:rFonts w:ascii="Tajawal" w:hAnsi="Tajawal" w:cs="Tajawal" w:eastAsia="Tajawal"/>
          <w:color w:val="7A3512"/>
          <w:sz w:val="22"/>
          <w:szCs w:val="22"/>
        </w:rPr>
        <w:t>• </w:t>
      </w:r>
      <w:r>
        <w:rPr>
          <w:rFonts w:ascii="Tajawal" w:hAnsi="Tajawal" w:cs="Tajawal" w:eastAsia="Tajawal"/>
        </w:rPr>
        <w:t xml:space="preserve">All release actions must be recorded in the production cutover record.</w:t>
      </w:r>
    </w:p>
    <w:p>
      <w:pPr>
        <w:pStyle w:val="Heading2"/>
      </w:pPr>
      <w:r>
        <w:rPr>
          <w:rFonts w:ascii="Tajawal" w:hAnsi="Tajawal" w:cs="Tajawal" w:eastAsia="Tajawal"/>
        </w:rPr>
        <w:t xml:space="preserve">9. Testing And Quality Management</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Test Type</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Coverage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Functional UAT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customer, accounting-office, internal operations, administrator, and system owner journeys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Request/response validation, errors, authorization, and workflow-triggered behavior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Approval, rejection, return, hold, reopen, activation, and status progression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seed data, test loading, production data rules, and rollback readiness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Role/permission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Sidebar, function access, backend enforcement, unauthorized route denial</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UI/UX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Layout, buttons, navigation, Arabic/English behavior, desktop parity, and content cleanup</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Dashboard, reports, drilldowns, PDF export, Excel export, and audit visibility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Negative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Invalid data, duplicate actions, unauthorized access, missing reasons, and invalid transitions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Asynchronous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 retries, failures, recovery, and delayed workflow effects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smoke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Login, role visibility, one supplier/customer/accounting-office/internal path, reports, exports, and health checks</w:t>
            </w:r>
          </w:p>
        </w:tc>
      </w:tr>
    </w:tbl>
    <w:p>
      <w:pPr>
        <w:pStyle w:val="BodyText"/>
        <w:spacing w:after="120"/>
      </w:pPr>
    </w:p>
    <w:p>
      <w:pPr>
        <w:pStyle w:val="Heading2"/>
      </w:pPr>
      <w:r>
        <w:rPr>
          <w:rFonts w:ascii="Tajawal" w:hAnsi="Tajawal" w:cs="Tajawal" w:eastAsia="Tajawal"/>
        </w:rPr>
        <w:t xml:space="preserve">10. Hosting And Infrastructure Management</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Layer</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Recommendation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Frontend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DNS / CDN / WAF</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 API</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App Service or Azure Container Apps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Database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Documents and exports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Blob Storage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Application Insights and Azure Monitor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Secrets/configuration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Key Vault or Azure App Configuration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PITR, pre-release backup, Blob soft-delete/versioning, release package archive</w:t>
            </w:r>
          </w:p>
        </w:tc>
      </w:tr>
    </w:tbl>
    <w:p>
      <w:pPr>
        <w:pStyle w:val="BodyText"/>
        <w:spacing w:after="120"/>
      </w:pPr>
    </w:p>
    <w:p>
      <w:pPr>
        <w:pStyle w:val="Heading2"/>
      </w:pPr>
      <w:r>
        <w:rPr>
          <w:rFonts w:ascii="Tajawal" w:hAnsi="Tajawal" w:cs="Tajawal" w:eastAsia="Tajawal"/>
        </w:rPr>
        <w:t xml:space="preserve">11. Backup And Recovery Management</w:t>
      </w:r>
    </w:p>
    <w:p>
      <w:pPr>
        <w:pStyle w:val="BodyText"/>
      </w:pPr>
      <w:r>
        <w:rPr>
          <w:rFonts w:ascii="Tajawal" w:hAnsi="Tajawal" w:cs="Tajawal" w:eastAsia="Tajawal"/>
        </w:rPr>
        <w:t xml:space="preserve">Production and backup/recovery must remain separate. Backup/recovery is not another production environment and must not be used for normal user activity, testing, reporting experiments, or operational processing.</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Backup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Requirement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automatic backups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point-in-time restore with at least 7 days minimum retention, preferably up to 35 days if budget allows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Pre-deployment backup</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before every production deployment or migration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Blob/document protection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soft-delete, versioning, or equivalent retention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package archive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Preserve backend, frontend, desktop, Cloudflare, and configuration package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drill</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Run before go-live and monthly during MVP stabilization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RPO</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baseline: 24 hours or better unless live finance data requires tighter recovery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RTO</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baseline: same business day recovery unless business requires tighter SLA</w:t>
            </w:r>
          </w:p>
        </w:tc>
      </w:tr>
    </w:tbl>
    <w:p>
      <w:pPr>
        <w:pStyle w:val="BodyText"/>
        <w:spacing w:after="120"/>
      </w:pPr>
    </w:p>
    <w:p>
      <w:pPr>
        <w:pStyle w:val="Heading2"/>
      </w:pPr>
      <w:r>
        <w:rPr>
          <w:rFonts w:ascii="Tajawal" w:hAnsi="Tajawal" w:cs="Tajawal" w:eastAsia="Tajawal"/>
        </w:rPr>
        <w:t xml:space="preserve">12. Business Visit Plan</w:t>
      </w:r>
    </w:p>
    <w:p>
      <w:pPr>
        <w:pStyle w:val="Heading3"/>
      </w:pPr>
      <w:r>
        <w:rPr>
          <w:rFonts w:ascii="Tajawal" w:hAnsi="Tajawal" w:cs="Tajawal" w:eastAsia="Tajawal"/>
        </w:rPr>
        <w:t xml:space="preserve">12.1 Travel Plan A</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Governorate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Travel Date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Travel Day</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Departure Date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Departure 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Beni Suef</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02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Saturday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Minya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08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Assiut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08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Sohag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Qena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Luxor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After Eid al-Adha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Aswan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Hurghada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bl>
    <w:p>
      <w:pPr>
        <w:pStyle w:val="BodyText"/>
        <w:spacing w:after="120"/>
      </w:pPr>
    </w:p>
    <w:p>
      <w:pPr>
        <w:pStyle w:val="Heading3"/>
      </w:pPr>
      <w:r>
        <w:rPr>
          <w:rFonts w:ascii="Tajawal" w:hAnsi="Tajawal" w:cs="Tajawal" w:eastAsia="Tajawal"/>
        </w:rPr>
        <w:t xml:space="preserve">12.2 Travel Plan B</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Governorate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Travel Date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Travel Day</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Departure Date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Departure 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Hurghada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02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Saturday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Qena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05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08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Assiut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08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Sohag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 May 2026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Minya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Friday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19 May 2026</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Luxor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After Eid al-Adha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Aswan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Beni Suef</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bl>
    <w:p>
      <w:pPr>
        <w:pStyle w:val="BodyText"/>
        <w:spacing w:after="120"/>
      </w:pPr>
    </w:p>
    <w:p>
      <w:pPr>
        <w:pStyle w:val="Heading2"/>
      </w:pPr>
      <w:r>
        <w:rPr>
          <w:rFonts w:ascii="Tajawal" w:hAnsi="Tajawal" w:cs="Tajawal" w:eastAsia="Tajawal"/>
        </w:rPr>
        <w:t xml:space="preserve">13. RACI Matrix</w:t>
      </w:r>
    </w:p>
    <w:tbl>
      <w:tblPr>
        <w:tblStyle w:val="CashLineTable"/>
        <w:tblW w:w="0" w:type="auto"/>
        <w:tblLook w:val="04A0"/>
      </w:tblPr>
      <w:tblGrid>
        <w:gridCol w:w="1289"/>
        <w:gridCol w:w="1289"/>
        <w:gridCol w:w="1289"/>
        <w:gridCol w:w="1289"/>
        <w:gridCol w:w="1289"/>
        <w:gridCol w:w="1289"/>
        <w:gridCol w:w="1289"/>
      </w:tblGrid>
      <w:tr>
        <w:tc>
          <w:tcPr>
            <w:tcW w:w="1289"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Workstream</w:t>
            </w:r>
          </w:p>
        </w:tc>
        <w:tc>
          <w:tcPr>
            <w:tcW w:w="1289"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Khalid Gabr</w:t>
            </w:r>
          </w:p>
        </w:tc>
        <w:tc>
          <w:tcPr>
            <w:tcW w:w="1289"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Mostafa El Shahawy</w:t>
            </w:r>
          </w:p>
        </w:tc>
        <w:tc>
          <w:tcPr>
            <w:tcW w:w="1289"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Nour Elsiminy</w:t>
            </w:r>
          </w:p>
        </w:tc>
        <w:tc>
          <w:tcPr>
            <w:tcW w:w="1289"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Doaa Sabry</w:t>
            </w:r>
          </w:p>
        </w:tc>
        <w:tc>
          <w:tcPr>
            <w:tcW w:w="1289"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Technical Team</w:t>
            </w:r>
          </w:p>
        </w:tc>
        <w:tc>
          <w:tcPr>
            <w:tcW w:w="1289"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Implementation Team</w:t>
            </w:r>
          </w:p>
        </w:tc>
      </w:tr>
      <w:tr>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Charter approval</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r>
      <w:tr>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scope freeze</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r>
      <w:tr>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setup</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r>
      <w:tr>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migration</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r>
      <w:tr>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Testing and UAT</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r>
      <w:tr>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cutover</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r>
      <w:tr>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r>
      <w:tr>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c>
          <w:tcPr>
            <w:tcW w:w="1289"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w:t>
            </w:r>
          </w:p>
        </w:tc>
      </w:tr>
      <w:tr>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governed path</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w:t>
            </w:r>
          </w:p>
        </w:tc>
        <w:tc>
          <w:tcPr>
            <w:tcW w:w="1289"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w:t>
            </w:r>
          </w:p>
        </w:tc>
      </w:tr>
    </w:tbl>
    <w:p>
      <w:pPr>
        <w:pStyle w:val="BodyText"/>
        <w:spacing w:after="120"/>
      </w:pPr>
    </w:p>
    <w:p>
      <w:pPr>
        <w:pStyle w:val="Heading2"/>
      </w:pPr>
      <w:r>
        <w:rPr>
          <w:rFonts w:ascii="Tajawal" w:hAnsi="Tajawal" w:cs="Tajawal" w:eastAsia="Tajawal"/>
        </w:rPr>
        <w:t xml:space="preserve">14. Risk Management</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Risk</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Impact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Mitigation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adoption resistance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Slow uptake and weak MVP value perception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Training, role-based walkthroughs, hypercare support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Implementation team</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data contamination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Loss of production credibility and reporting quality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UAT/demo data in production; controlled data load checklist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failure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delay or data inconsistency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dry-run, backup, rollback plan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Role/access misconfiguration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Unauthorized access or hidden function failure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Role/function regression testing and production smoke validation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instability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Downtime or poor user experience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 Azure managed services, monitoring, alerts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not restorable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Recovery failure during incident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drill before go-live and monthly checks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Unclear scope changes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Schedule delay and project drift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freeze, change approval, sponsor escalation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bugs after go-live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disruption and reputational risk</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severity triage, rollback readiness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scope leakage or wrong client visibility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Privacy, compliance, and trust failure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Strict office/client assignment controls, role testing, audit review, and production smoke validation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 / Business Analysis</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Integration assumptions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False readiness claims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unqualified integrations disabled until owner sign-off</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 Technical Lead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ETA/e-invoicing, Fawry, or Paymob activated by third party during MVP</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schedule, security, testing, reconciliation, tax, and release risk if credentials become active unexpectedly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Treat as go-live uncertainty path; require change control, staging test, owner sign-off, rollback plan, and production release approval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 Project Manager / Technical Lead</w:t>
            </w:r>
          </w:p>
        </w:tc>
      </w:tr>
    </w:tbl>
    <w:p>
      <w:pPr>
        <w:pStyle w:val="BodyText"/>
        <w:spacing w:after="120"/>
      </w:pPr>
    </w:p>
    <w:p>
      <w:pPr>
        <w:pStyle w:val="Heading2"/>
      </w:pPr>
      <w:r>
        <w:rPr>
          <w:rFonts w:ascii="Tajawal" w:hAnsi="Tajawal" w:cs="Tajawal" w:eastAsia="Tajawal"/>
        </w:rPr>
        <w:t xml:space="preserve">15. Budget Framework</w:t>
      </w:r>
    </w:p>
    <w:p>
      <w:pPr>
        <w:pStyle w:val="BodyText"/>
      </w:pPr>
      <w:r>
        <w:rPr>
          <w:rFonts w:ascii="Tajawal" w:hAnsi="Tajawal" w:cs="Tajawal" w:eastAsia="Tajawal"/>
        </w:rPr>
        <w:t xml:space="preserve">Hosting cost is included based on the approved hosting strategy. Other cost elements are intentionally left blank for business/finance completion.</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Cost Element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Estimated Cost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Notes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 Lean controlled MVP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$80 - $250/month</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 Azure low-cost controlled MVP</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 Production-comfortable MVP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$250 - $600/month</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 Azure with more production comfort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scope uplift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Included within MVP ranges unless user volume, documents, or ETA/government submission usage increases materially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 logs, storage, and workflow volume during hypercare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Human resources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Implementation services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QA/testing services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 review</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Training and enablement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and operations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Marketing and sales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Contingency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Total</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To be completed by business/finance</w:t>
            </w:r>
          </w:p>
        </w:tc>
      </w:tr>
    </w:tbl>
    <w:p>
      <w:pPr>
        <w:pStyle w:val="BodyText"/>
        <w:spacing w:after="120"/>
      </w:pPr>
    </w:p>
    <w:p>
      <w:pPr>
        <w:pStyle w:val="Heading2"/>
      </w:pPr>
      <w:r>
        <w:rPr>
          <w:rFonts w:ascii="Tajawal" w:hAnsi="Tajawal" w:cs="Tajawal" w:eastAsia="Tajawal"/>
        </w:rPr>
        <w:t xml:space="preserve">16. External Integration Go-Live Uncertainty Paths</w:t>
      </w:r>
    </w:p>
    <w:p>
      <w:pPr>
        <w:pStyle w:val="BodyText"/>
      </w:pPr>
      <w:r>
        <w:rPr>
          <w:rFonts w:ascii="Tajawal" w:hAnsi="Tajawal" w:cs="Tajawal" w:eastAsia="Tajawal"/>
        </w:rPr>
        <w:t xml:space="preserve">ETA/e-invoicing, Fawry, and Paymob are explicit go-live uncertainty paths for the MVP. They are currently held/conditional because activation depends on third-party credentials, merchant/account access, authority access, endpoint configuration, callback readiness, certification evidence, and owner sign-off.</w:t>
      </w:r>
    </w:p>
    <w:p>
      <w:pPr>
        <w:pStyle w:val="BodyText"/>
      </w:pPr>
      <w:r>
        <w:rPr>
          <w:rFonts w:ascii="Tajawal" w:hAnsi="Tajawal" w:cs="Tajawal" w:eastAsia="Tajawal"/>
        </w:rPr>
        <w:t xml:space="preserve">These paths may be added to the controlled MVP at any time if the relevant third party activates the required credentials or access during MVP preparation, staging, cutover, stabilization, or early production. This is a formal project risk and change-control dependency. It is not a permanent exclusion and it is not an automatic production approval.</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External Path</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Current MVP Position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Trigger For Activation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Required Project Control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 e-invoicing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credentials, authority access, target endpoint, and submission evidence become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 impact assessment, staging submission test, tax/finance sign-off, rollback plan, production approval</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 merchant credentials, API access, callback configuration, and payment test evidence become available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 impact assessment, payment-flow test, callback validation, reconciliation check, rollback plan, production approval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 merchant credentials, API access, callback configuration, and payment test evidence become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 impact assessment, payment-flow test, callback validation, reconciliation check, rollback plan, production approval</w:t>
            </w:r>
          </w:p>
        </w:tc>
      </w:tr>
    </w:tbl>
    <w:p>
      <w:pPr>
        <w:pStyle w:val="BodyText"/>
        <w:spacing w:after="120"/>
      </w:pPr>
    </w:p>
    <w:p>
      <w:pPr>
        <w:pStyle w:val="BodyText"/>
      </w:pPr>
      <w:r>
        <w:rPr>
          <w:rFonts w:ascii="Tajawal" w:hAnsi="Tajawal" w:cs="Tajawal" w:eastAsia="Tajawal"/>
        </w:rPr>
        <w:t xml:space="preserve">No team member should enable ETA/e-invoicing, Fawry, or Paymob directly in production only because credentials become available. Activation must be approved through project governance and must include test evidence, security review, monitoring, owner sign-off, and release documentation.</w:t>
      </w:r>
    </w:p>
    <w:p>
      <w:pPr>
        <w:pStyle w:val="Heading2"/>
      </w:pPr>
      <w:r>
        <w:rPr>
          <w:rFonts w:ascii="Tajawal" w:hAnsi="Tajawal" w:cs="Tajawal" w:eastAsia="Tajawal"/>
        </w:rPr>
        <w:t xml:space="preserve">17. Success Criteria</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Success Criterion</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Measurement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MVP is live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users including accounting-office users can access the production environment within approved role scope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critical production blockers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Severity 1 issues are zero or controlled by approved workaround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 governance works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Administrator, supplier, customer, accounting-office, and internal role visibility is enforced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Core workflows operate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Supplier/customer/accounting-office onboarding and internal review workflows complete as designed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delegated servicing works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accounting-office users can see only assigned approved clients and complete approved finance/compliance/reporting actions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 and exports work</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reports export successfully to PDF/Excel</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 is proven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Pre-release backup and restore drill evidence exist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is operating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Daily issue review and stabilization reporting active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 ready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Sponsor receives evidence-based go/no-go recommendation</w:t>
            </w:r>
          </w:p>
        </w:tc>
      </w:tr>
    </w:tbl>
    <w:p>
      <w:pPr>
        <w:pStyle w:val="BodyText"/>
        <w:spacing w:after="120"/>
      </w:pPr>
    </w:p>
    <w:p>
      <w:pPr>
        <w:pStyle w:val="Heading2"/>
      </w:pPr>
      <w:r>
        <w:rPr>
          <w:rFonts w:ascii="Tajawal" w:hAnsi="Tajawal" w:cs="Tajawal" w:eastAsia="Tajawal"/>
        </w:rPr>
        <w:t xml:space="preserve">18. Communication Plan</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Communication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Audience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Frequency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governance update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Sponsor, PM, technical lead, BA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Weekly or as needed during cutover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Daily readiness standup</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QA, implementation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Daily during active cutover window</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and blocker escalation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Sponsor and responsible owners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 needed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status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and QA stakeholders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During staging/UAT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cutover notice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MVP users and project team</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Before production deployment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report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Sponsor, PM, technical lead, BA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Daily during hypercare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recommendation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Executive stakeholders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At project closure gate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r>
    </w:tbl>
    <w:p>
      <w:pPr>
        <w:pStyle w:val="BodyText"/>
        <w:spacing w:after="120"/>
      </w:pPr>
    </w:p>
    <w:p>
      <w:pPr>
        <w:pStyle w:val="Heading2"/>
      </w:pPr>
      <w:r>
        <w:rPr>
          <w:rFonts w:ascii="Tajawal" w:hAnsi="Tajawal" w:cs="Tajawal" w:eastAsia="Tajawal"/>
        </w:rPr>
        <w:t xml:space="preserve">19. Change Control</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Change Type</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Required Approval</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expansion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and Project Manager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deployment date change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and Project Manager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architecture change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and Project Sponsor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migration change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and Project Manager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role/access model change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Business Analysis, Technical Lead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scope or delegated-client model change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Project Manager, Business Analysis, and Technical Lead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Cost-impacting change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change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ETA/e-invoicing, Fawry, or Paymob activation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Project Manager, Technical Lead, and relevant business owner</w:t>
            </w:r>
          </w:p>
        </w:tc>
      </w:tr>
    </w:tbl>
    <w:p>
      <w:pPr>
        <w:pStyle w:val="BodyText"/>
        <w:spacing w:after="120"/>
      </w:pPr>
    </w:p>
    <w:p>
      <w:pPr>
        <w:pStyle w:val="Heading2"/>
      </w:pPr>
      <w:r>
        <w:rPr>
          <w:rFonts w:ascii="Tajawal" w:hAnsi="Tajawal" w:cs="Tajawal" w:eastAsia="Tajawal"/>
        </w:rPr>
        <w:t xml:space="preserve">20. Approval Matrix</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Approval Role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Name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Approval Status</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Signature / Date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Khalid Gabr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Mostafa El Shahawy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Nour Elsiminy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Doaa Sabry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Client / Business Representative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Pending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
            </w:r>
          </w:p>
        </w:tc>
      </w:tr>
    </w:tbl>
    <w:p>
      <w:pPr>
        <w:pStyle w:val="BodyText"/>
        <w:spacing w:after="120"/>
      </w:pPr>
    </w:p>
    <w:p>
      <w:pPr>
        <w:pStyle w:val="Heading2"/>
      </w:pPr>
      <w:r>
        <w:rPr>
          <w:rFonts w:ascii="Tajawal" w:hAnsi="Tajawal" w:cs="Tajawal" w:eastAsia="Tajawal"/>
        </w:rPr>
        <w:t xml:space="preserve">21. Final Project Management Statement</w:t>
      </w:r>
    </w:p>
    <w:p>
      <w:pPr>
        <w:pStyle w:val="BodyText"/>
      </w:pPr>
      <w:r>
        <w:rPr>
          <w:rFonts w:ascii="Tajawal" w:hAnsi="Tajawal" w:cs="Tajawal" w:eastAsia="Tajawal"/>
        </w:rPr>
        <w:t xml:space="preserve">This full project-management plan should be used as the controlling document for the CashLine ERP controlled production MVP. It connects the project charter, WBS, CPM, testing, deployment, hosting, backup/recovery, visit planning, RACI, risks, budget framework, and approvals into one operating baseline.</w:t>
      </w:r>
    </w:p>
    <w:p>
      <w:pPr>
        <w:pStyle w:val="BodyText"/>
      </w:pPr>
      <w:r>
        <w:rPr>
          <w:rFonts w:ascii="Tajawal" w:hAnsi="Tajawal" w:cs="Tajawal" w:eastAsia="Tajawal"/>
        </w:rPr>
        <w:t xml:space="preserve">The project should proceed as a controlled MVP production activation, not a full enterprise big-bang go-live. Wider rollout should occur only after stabilization evidence, cost review, risk review, and sponsor approval.</w:t>
      </w:r>
    </w:p>
    <w:sectPr>
      <w:headerReference w:type="default" r:id="rIdHeader1"/>
      <w:footerReference w:type="default" r:id="rIdFooter1"/>
      <w:pgSz w:w="11906" w:h="16838"/>
      <w:pgMar w:top="1134" w:right="1008" w:bottom="1134" w:left="1008" w:header="567" w:footer="567" w:gutter="0"/>
      <w:cols w:space="708"/>
    </w:sectPr>
  </w:body>
</w:document>
</file>

<file path=word/footer1.xml><?xml version="1.0" encoding="utf-8"?>
<w:ftr xmlns:w="http://schemas.openxmlformats.org/wordprocessingml/2006/main" xmlns:r="http://schemas.openxmlformats.org/officeDocument/2006/relationships">
  <w:p>
    <w:pPr>
      <w:jc w:val="center"/>
      <w:pBdr>
        <w:top w:val="single" w:sz="4" w:space="2" w:color="E7D6C8"/>
      </w:pBdr>
    </w:pPr>
    <w:r>
      <w:rPr>
        <w:rFonts w:ascii="Tajawal" w:hAnsi="Tajawal" w:cs="Tajawal" w:eastAsia="Tajawal"/>
        <w:color w:val="6B7280"/>
        <w:sz w:val="16"/>
        <w:szCs w:val="16"/>
      </w:rPr>
      <w:t xml:space="preserve">Confidential - CashLine ERP Governance Deliverable  |  Page </w:t>
    </w:r>
    <w:r>
      <w:fldChar w:fldCharType="begin"/>
    </w:r>
    <w:r>
      <w:instrText xml:space="preserve"> PAGE </w:instrText>
    </w:r>
    <w:r>
      <w:fldChar w:fldCharType="separate"/>
    </w:r>
    <w:r>
      <w:t>1</w:t>
    </w:r>
    <w:r>
      <w:fldChar w:fldCharType="end"/>
    </w:r>
    <w:r>
      <w:rPr>
        <w:rFonts w:ascii="Tajawal" w:hAnsi="Tajawal" w:cs="Tajawal" w:eastAsia="Tajawal"/>
        <w:color w:val="6B7280"/>
        <w:sz w:val="16"/>
        <w:szCs w:val="16"/>
      </w:rPr>
      <w:t xml:space="preserve"> of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w:p>
    <w:pPr>
      <w:jc w:val="both"/>
      <w:pBdr>
        <w:bottom w:val="single" w:sz="8" w:space="2" w:color="A94F18"/>
      </w:pBdr>
    </w:pPr>
    <w:r>
      <w:rPr>
        <w:rFonts w:ascii="Tajawal" w:hAnsi="Tajawal" w:cs="Tajawal" w:eastAsia="Tajawal"/>
        <w:b/>
        <w:bCs/>
        <w:color w:val="7A3512"/>
        <w:sz w:val="20"/>
        <w:szCs w:val="20"/>
      </w:rPr>
      <w:t>CashLine ERP</w:t>
    </w:r>
    <w:r>
      <w:rPr>
        <w:rFonts w:ascii="Tajawal" w:hAnsi="Tajawal" w:cs="Tajawal" w:eastAsia="Tajawal"/>
        <w:color w:val="6B7280"/>
        <w:sz w:val="18"/>
        <w:szCs w:val="18"/>
      </w:rPr>
      <w:t xml:space="preserve">  |  MVP Full Project Management Plan</w:t>
    </w:r>
  </w:p>
</w:hdr>
</file>

<file path=word/settings.xml><?xml version="1.0" encoding="utf-8"?>
<w:settings xmlns:w="http://schemas.openxmlformats.org/wordprocessingml/2006/main">
  <w:updateFields w:val="true"/>
  <w:defaultTabStop w:val="720"/>
</w:settings>
</file>

<file path=word/styles.xml><?xml version="1.0" encoding="utf-8"?>
<w:styles xmlns:w="http://schemas.openxmlformats.org/wordprocessingml/2006/main">
  <w:docDefaults>
    <w:rPrDefault>
      <w:rPr>
        <w:rFonts w:ascii="Tajawal" w:hAnsi="Tajawal" w:cs="Tajawal" w:eastAsia="Tajawal"/>
        <w:sz w:val="22"/>
        <w:szCs w:val="22"/>
        <w:color w:val="1F2933"/>
      </w:rPr>
    </w:rPrDefault>
    <w:pPrDefault>
      <w:pPr>
        <w:spacing w:after="160" w:line="276" w:lineRule="auto"/>
      </w:pPr>
    </w:pPrDefault>
  </w:docDefaults>
  <w:style w:type="paragraph" w:styleId="Normal">
    <w:name w:val="Normal"/>
    <w:pPr>
      <w:spacing w:after="160" w:line="276" w:lineRule="auto"/>
    </w:pPr>
    <w:rPr>
      <w:rFonts w:ascii="Tajawal" w:hAnsi="Tajawal" w:cs="Tajawal" w:eastAsia="Tajawal"/>
      <w:sz w:val="22"/>
      <w:szCs w:val="22"/>
      <w:color w:val="1F2933"/>
    </w:rPr>
  </w:style>
  <w:style w:type="paragraph" w:styleId="BodyText">
    <w:name w:val="Body Text"/>
    <w:basedOn w:val="Normal"/>
    <w:pPr>
      <w:spacing w:after="160" w:line="276" w:lineRule="auto"/>
    </w:pPr>
    <w:rPr>
      <w:rFonts w:ascii="Tajawal" w:hAnsi="Tajawal" w:cs="Tajawal" w:eastAsia="Tajawal"/>
      <w:sz w:val="22"/>
      <w:szCs w:val="22"/>
      <w:color w:val="1F2933"/>
    </w:rPr>
  </w:style>
  <w:style w:type="paragraph" w:styleId="BrandMark">
    <w:name w:val="Brand Mark"/>
    <w:basedOn w:val="Normal"/>
    <w:pPr>
      <w:spacing w:before="320" w:after="160"/>
    </w:pPr>
    <w:rPr>
      <w:rFonts w:ascii="Tajawal" w:hAnsi="Tajawal" w:cs="Tajawal"/>
      <w:b/>
      <w:color w:val="7A3512"/>
      <w:sz w:val="34"/>
      <w:szCs w:val="34"/>
    </w:rPr>
  </w:style>
  <w:style w:type="paragraph" w:styleId="CoverTitle">
    <w:name w:val="Cover Title"/>
    <w:basedOn w:val="Normal"/>
    <w:pPr>
      <w:spacing w:before="420" w:after="180"/>
    </w:pPr>
    <w:rPr>
      <w:rFonts w:ascii="Tajawal" w:hAnsi="Tajawal" w:cs="Tajawal"/>
      <w:b/>
      <w:color w:val="1F2933"/>
      <w:sz w:val="44"/>
      <w:szCs w:val="44"/>
    </w:rPr>
  </w:style>
  <w:style w:type="paragraph" w:styleId="CoverSubtitle">
    <w:name w:val="Cover Subtitle"/>
    <w:basedOn w:val="Normal"/>
    <w:pPr>
      <w:spacing w:after="280"/>
    </w:pPr>
    <w:rPr>
      <w:rFonts w:ascii="Tajawal" w:hAnsi="Tajawal" w:cs="Tajawal"/>
      <w:color w:val="6B7280"/>
      <w:sz w:val="24"/>
      <w:szCs w:val="24"/>
    </w:rPr>
  </w:style>
  <w:style w:type="paragraph" w:styleId="Heading1">
    <w:name w:val="Heading 1"/>
    <w:basedOn w:val="Normal"/>
    <w:pPr>
      <w:keepNext/>
      <w:spacing w:before="420" w:after="180"/>
      <w:pBdr>
        <w:bottom w:val="single" w:sz="8" w:space="4" w:color="A94F18"/>
      </w:pBdr>
    </w:pPr>
    <w:rPr>
      <w:rFonts w:ascii="Tajawal" w:hAnsi="Tajawal" w:cs="Tajawal"/>
      <w:b/>
      <w:color w:val="7A3512"/>
      <w:sz w:val="30"/>
      <w:szCs w:val="30"/>
    </w:rPr>
  </w:style>
  <w:style w:type="paragraph" w:styleId="Heading2">
    <w:name w:val="Heading 2"/>
    <w:basedOn w:val="Normal"/>
    <w:pPr>
      <w:keepNext/>
      <w:spacing w:before="320" w:after="140"/>
    </w:pPr>
    <w:rPr>
      <w:rFonts w:ascii="Tajawal" w:hAnsi="Tajawal" w:cs="Tajawal"/>
      <w:b/>
      <w:color w:val="1F2933"/>
      <w:sz w:val="26"/>
      <w:szCs w:val="26"/>
    </w:rPr>
  </w:style>
  <w:style w:type="paragraph" w:styleId="Heading3">
    <w:name w:val="Heading 3"/>
    <w:basedOn w:val="Normal"/>
    <w:pPr>
      <w:keepNext/>
      <w:spacing w:before="220" w:after="100"/>
    </w:pPr>
    <w:rPr>
      <w:rFonts w:ascii="Tajawal" w:hAnsi="Tajawal" w:cs="Tajawal"/>
      <w:b/>
      <w:color w:val="A94F18"/>
      <w:sz w:val="23"/>
      <w:szCs w:val="23"/>
    </w:rPr>
  </w:style>
  <w:style w:type="paragraph" w:styleId="ListParagraph">
    <w:name w:val="List Paragraph"/>
    <w:basedOn w:val="Normal"/>
    <w:pPr>
      <w:ind w:left="360" w:hanging="180"/>
      <w:spacing w:after="80" w:line="260" w:lineRule="auto"/>
    </w:pPr>
    <w:rPr>
      <w:rFonts w:ascii="Tajawal" w:hAnsi="Tajawal" w:cs="Tajawal" w:eastAsia="Tajawal"/>
      <w:sz w:val="22"/>
      <w:szCs w:val="22"/>
      <w:color w:val="1F2933"/>
    </w:rPr>
  </w:style>
  <w:style w:type="paragraph" w:styleId="TableText">
    <w:name w:val="Table Text"/>
    <w:basedOn w:val="Normal"/>
    <w:pPr>
      <w:spacing w:after="40" w:line="240" w:lineRule="auto"/>
    </w:pPr>
    <w:rPr>
      <w:rFonts w:ascii="Tajawal" w:hAnsi="Tajawal" w:cs="Tajawal"/>
      <w:sz w:val="18"/>
      <w:szCs w:val="18"/>
      <w:color w:val="1F2933"/>
    </w:rPr>
  </w:style>
  <w:style w:type="paragraph" w:styleId="Caption">
    <w:name w:val="Caption"/>
    <w:basedOn w:val="Normal"/>
    <w:pPr>
      <w:spacing w:before="160" w:after="120"/>
    </w:pPr>
    <w:rPr>
      <w:rFonts w:ascii="Tajawal" w:hAnsi="Tajawal" w:cs="Tajawal"/>
      <w:i/>
      <w:color w:val="6B7280"/>
      <w:sz w:val="18"/>
      <w:szCs w:val="18"/>
    </w:rPr>
  </w:style>
  <w:style w:type="paragraph" w:styleId="Callout">
    <w:name w:val="Callout"/>
    <w:basedOn w:val="Normal"/>
    <w:pPr>
      <w:spacing w:before="160" w:after="80"/>
      <w:shd w:fill="FFF3EA"/>
      <w:pBdr>
        <w:left w:val="single" w:sz="12" w:space="6" w:color="A94F18"/>
      </w:pBdr>
    </w:pPr>
    <w:rPr>
      <w:rFonts w:ascii="Tajawal" w:hAnsi="Tajawal" w:cs="Tajawal"/>
      <w:b/>
      <w:color w:val="7A3512"/>
      <w:sz w:val="21"/>
      <w:szCs w:val="21"/>
    </w:rPr>
  </w:style>
  <w:style w:type="table" w:styleId="CashLineTable">
    <w:name w:val="CashLine Table"/>
    <w:tblPr>
      <w:tblCellMar>
        <w:top w:w="90" w:type="dxa"/>
        <w:left w:w="110" w:type="dxa"/>
        <w:bottom w:w="90" w:type="dxa"/>
        <w:right w:w="110" w:type="dxa"/>
      </w:tblCellMar>
    </w:tblPr>
  </w:style>
</w:styles>
</file>

<file path=word/_rels/document.xml.rels><?xml version="1.0" encoding="UTF-8" standalone="yes"?>
<Relationships xmlns="http://schemas.openxmlformats.org/package/2006/relationships">
  <Relationship Id="rIdStyles" Type="http://schemas.openxmlformats.org/officeDocument/2006/relationships/styles" Target="styles.xml"/>
  <Relationship Id="rIdSettings" Type="http://schemas.openxmlformats.org/officeDocument/2006/relationships/settings" Target="settings.xml"/>
  <Relationship Id="rIdHeader1" Type="http://schemas.openxmlformats.org/officeDocument/2006/relationships/header" Target="header1.xml"/>
  <Relationship Id="rIdFooter1" Type="http://schemas.openxmlformats.org/officeDocument/2006/relationships/footer" Target="footer1.xml"/>
  <Relationship Id="rIdCpmDiagram" Type="http://schemas.openxmlformats.org/officeDocument/2006/relationships/image" Target="media/cashline-mvp-cpm-network-diagram-2026-04-20.png"/>
</Relationships>
</file>

<file path=docProps/app.xml><?xml version="1.0" encoding="utf-8"?>
<Properties xmlns="http://schemas.openxmlformats.org/officeDocument/2006/extended-properties" xmlns:vt="http://schemas.openxmlformats.org/officeDocument/2006/docPropsVTypes">
  <Application>CashLine ERP Document Generator</Application>
  <DocSecurity>0</DocSecurity>
  <ScaleCrop>false</ScaleCrop>
  <Company>CashLine ERP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CashLine ERP MVP Full Project Management Plan</dc:title>
  <dc:creator>Codex</dc:creator>
  <cp:lastModifiedBy>Codex</cp:lastModifiedBy>
  <dcterms:created xsi:type="dcterms:W3CDTF">2026-04-24T10:08:52Z</dcterms:created>
  <dcterms:modified xsi:type="dcterms:W3CDTF">2026-04-24T10:08:52Z</dcterms:modified>
</cp:coreProperties>
</file>