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header1.xml" ContentType="application/vnd.openxmlformats-officedocument.wordprocessingml.header+xml"/>
  <Override PartName="/word/footer1.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http://schemas.openxmlformats.org/wordprocessingml/2006/main" xmlns:r="http://schemas.openxmlformats.org/officeDocument/2006/relationships">
  <w:body>
    <w:p>
      <w:pPr>
        <w:pStyle w:val="BrandMark"/>
        <w:jc w:val="center"/>
      </w:pPr>
      <w:r>
        <w:rPr>
          <w:rFonts w:ascii="Tajawal" w:hAnsi="Tajawal" w:cs="Tajawal" w:eastAsia="Tajawal"/>
        </w:rPr>
        <w:t xml:space="preserve">CashLine ERP</w:t>
      </w:r>
    </w:p>
    <w:p>
      <w:pPr>
        <w:pBdr>
          <w:bottom w:val="single" w:sz="12" w:space="1" w:color="A94F18"/>
        </w:pBdr>
        <w:spacing w:after="240"/>
      </w:pPr>
    </w:p>
    <w:p>
      <w:pPr>
        <w:pStyle w:val="CoverTitle"/>
        <w:jc w:val="center"/>
      </w:pPr>
      <w:r>
        <w:rPr>
          <w:rFonts w:ascii="Tajawal" w:hAnsi="Tajawal" w:cs="Tajawal" w:eastAsia="Tajawal"/>
        </w:rPr>
        <w:t xml:space="preserve">MVP Production Deployment Plan</w:t>
      </w:r>
    </w:p>
    <w:p>
      <w:pPr>
        <w:pStyle w:val="CoverSubtitle"/>
        <w:jc w:val="center"/>
      </w:pPr>
      <w:r>
        <w:rPr>
          <w:rFonts w:ascii="Tajawal" w:hAnsi="Tajawal" w:cs="Tajawal" w:eastAsia="Tajawal"/>
        </w:rPr>
        <w:t xml:space="preserve">Development -&gt; QA -&gt; Staging/Pre-production -&gt; Controlled Production MVP -&gt; Stabilization -&gt; Wider rollout</w:t>
      </w:r>
    </w:p>
    <w:p>
      <w:pPr>
        <w:pStyle w:val="BodyText"/>
        <w:spacing w:after="360"/>
      </w:pPr>
    </w:p>
    <w:tbl>
      <w:tblPr>
        <w:tblStyle w:val="CashLineTable"/>
        <w:tblW w:w="0" w:type="auto"/>
        <w:tblLook w:val="04A0"/>
      </w:tblPr>
      <w:tblGrid>
        <w:gridCol w:w="4512"/>
        <w:gridCol w:w="4512"/>
      </w:tblGrid>
      <w:tr>
        <w:tc>
          <w:tcPr>
            <w:tcW w:w="4512"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Document Field</w:t>
            </w:r>
          </w:p>
        </w:tc>
        <w:tc>
          <w:tcPr>
            <w:tcW w:w="4512"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Value</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Version</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1.0 - Branded Executive Deliverable</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Document Date</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2026-04-20</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Redesigned</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2026-04-24</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Prepared For</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Business owners, product owners, implementation leads, engineering, QA, infrastructure, security, operations, and release governance</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Release Position</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Controlled production MVP planning baseline</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Typography</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Tajawal</w:t>
            </w:r>
          </w:p>
        </w:tc>
      </w:tr>
    </w:tbl>
    <w:p>
      <w:pPr>
        <w:pStyle w:val="BodyText"/>
        <w:spacing w:after="120"/>
      </w:pPr>
    </w:p>
    <w:p>
      <w:pPr>
        <w:pStyle w:val="Caption"/>
        <w:jc w:val="center"/>
      </w:pPr>
      <w:r>
        <w:rPr>
          <w:rFonts w:ascii="Tajawal" w:hAnsi="Tajawal" w:cs="Tajawal" w:eastAsia="Tajawal"/>
        </w:rPr>
        <w:t xml:space="preserve">Confidential - Prepared for CashLine ERP production MVP planning and release governance.</w:t>
      </w:r>
    </w:p>
    <w:p>
      <w:r>
        <w:br w:type="page"/>
      </w:r>
    </w:p>
    <w:p>
      <w:pPr>
        <w:pStyle w:val="Heading1"/>
      </w:pPr>
      <w:r>
        <w:rPr>
          <w:rFonts w:ascii="Tajawal" w:hAnsi="Tajawal" w:cs="Tajawal" w:eastAsia="Tajawal"/>
        </w:rPr>
        <w:t xml:space="preserve">Document Control</w:t>
      </w:r>
    </w:p>
    <w:tbl>
      <w:tblPr>
        <w:tblStyle w:val="CashLineTable"/>
        <w:tblW w:w="0" w:type="auto"/>
        <w:tblLook w:val="04A0"/>
      </w:tblPr>
      <w:tblGrid>
        <w:gridCol w:w="4512"/>
        <w:gridCol w:w="4512"/>
      </w:tblGrid>
      <w:tr>
        <w:tc>
          <w:tcPr>
            <w:tcW w:w="4512"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Control Item</w:t>
            </w:r>
          </w:p>
        </w:tc>
        <w:tc>
          <w:tcPr>
            <w:tcW w:w="4512"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Description</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Purpose</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Define the recommended production deployment, staging, pipeline, database loading, system test loading, rollback, and hypercare strategy for CashLine ERP V1 MVP.</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Scope</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Development, QA, staging/pre-production, controlled production MVP, stabilization, wider rollout, database deployment, seed data, test data, production data loading, and release governance.</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Primary Audience</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Business owners, product owners, QA, implementation leads, infrastructure, engineering, technical operations, security, and release approvers.</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Release Path</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Development -&gt; QA -&gt; Staging/Pre-production -&gt; Controlled Production MVP -&gt; Stabilization -&gt; Wider rollout</w:t>
            </w:r>
          </w:p>
        </w:tc>
      </w:tr>
    </w:tbl>
    <w:p>
      <w:pPr>
        <w:pStyle w:val="BodyText"/>
        <w:spacing w:after="120"/>
      </w:pPr>
    </w:p>
    <w:p>
      <w:r>
        <w:br w:type="page"/>
      </w:r>
    </w:p>
    <w:p>
      <w:pPr>
        <w:pStyle w:val="Heading2"/>
      </w:pPr>
      <w:r>
        <w:rPr>
          <w:rFonts w:ascii="Tajawal" w:hAnsi="Tajawal" w:cs="Tajawal" w:eastAsia="Tajawal"/>
        </w:rPr>
        <w:t xml:space="preserve">1. Executive Summary</w:t>
      </w:r>
    </w:p>
    <w:p>
      <w:pPr>
        <w:pStyle w:val="BodyText"/>
      </w:pPr>
      <w:r>
        <w:rPr>
          <w:rFonts w:ascii="Tajawal" w:hAnsi="Tajawal" w:cs="Tajawal" w:eastAsia="Tajawal"/>
        </w:rPr>
        <w:t xml:space="preserve">CashLine ERP V1 should move to production through a controlled MVP deployment model rather than a full enterprise big-bang launch. The objective is to protect workflow integrity, user access control, data quality, operational credibility, and business confidence while allowing the platform to start real controlled usage.</w:t>
      </w:r>
    </w:p>
    <w:p>
      <w:pPr>
        <w:pStyle w:val="BodyText"/>
      </w:pPr>
      <w:r>
        <w:rPr>
          <w:rFonts w:ascii="Tajawal" w:hAnsi="Tajawal" w:cs="Tajawal" w:eastAsia="Tajawal"/>
        </w:rPr>
        <w:t xml:space="preserve">The recommended strategy is to operate a clean environment chain from Development through QA, Staging/Pre-production, Controlled Production MVP, Stabilization, and then Wider rollout. Each environment must have a clear purpose, controlled data rules, deployment gates, and release sign-off criteria.</w:t>
      </w:r>
    </w:p>
    <w:p>
      <w:pPr>
        <w:pStyle w:val="BodyText"/>
      </w:pPr>
      <w:r>
        <w:rPr>
          <w:rFonts w:ascii="Tajawal" w:hAnsi="Tajawal" w:cs="Tajawal" w:eastAsia="Tajawal"/>
        </w:rPr>
        <w:t xml:space="preserve">Production must only receive builds that have already passed equivalent deployment, migration, workflow, API, user-role, UI, reporting, desktop, backup, and rollback checks in staging.</w:t>
      </w:r>
    </w:p>
    <w:p>
      <w:pPr>
        <w:pStyle w:val="Callout"/>
      </w:pPr>
      <w:r>
        <w:rPr>
          <w:rFonts w:ascii="Tajawal" w:hAnsi="Tajawal" w:cs="Tajawal" w:eastAsia="Tajawal"/>
        </w:rPr>
        <w:t xml:space="preserve">Explicit scope change for this deployment baseline:</w:t>
      </w:r>
    </w:p>
    <w:p>
      <w:pPr>
        <w:pStyle w:val="BodyText"/>
      </w:pPr>
      <w:r>
        <w:rPr>
          <w:rFonts w:ascii="Tajawal" w:hAnsi="Tajawal" w:cs="Tajawal" w:eastAsia="Tajawal"/>
        </w:rPr>
        <w:t xml:space="preserve">The controlled MVP now includes the new </w:t>
      </w:r>
      <w:r>
        <w:rPr>
          <w:rFonts w:ascii="Tajawal" w:hAnsi="Tajawal" w:cs="Tajawal" w:eastAsia="Tajawal"/>
          <w:color w:val="7A3512"/>
          <w:sz w:val="20"/>
          <w:szCs w:val="20"/>
        </w:rPr>
        <w:t xml:space="preserve">ACCOUNTING_OFFICE</w:t>
      </w:r>
      <w:r>
        <w:rPr>
          <w:rFonts w:ascii="Tajawal" w:hAnsi="Tajawal" w:cs="Tajawal" w:eastAsia="Tajawal"/>
        </w:rPr>
        <w:t xml:space="preserve"> module as a governed release lane. This means deployment readiness must now cover:</w:t>
      </w:r>
    </w:p>
    <w:p>
      <w:pPr>
        <w:pStyle w:val="ListParagraph"/>
      </w:pPr>
      <w:r>
        <w:rPr>
          <w:rFonts w:ascii="Tajawal" w:hAnsi="Tajawal" w:cs="Tajawal" w:eastAsia="Tajawal"/>
          <w:color w:val="7A3512"/>
          <w:sz w:val="22"/>
          <w:szCs w:val="22"/>
        </w:rPr>
        <w:t>• </w:t>
      </w:r>
      <w:r>
        <w:rPr>
          <w:rFonts w:ascii="Tajawal" w:hAnsi="Tajawal" w:cs="Tajawal" w:eastAsia="Tajawal"/>
        </w:rPr>
        <w:t xml:space="preserve">accounting-office onboarding into CashLine</w:t>
      </w:r>
    </w:p>
    <w:p>
      <w:pPr>
        <w:pStyle w:val="ListParagraph"/>
      </w:pPr>
      <w:r>
        <w:rPr>
          <w:rFonts w:ascii="Tajawal" w:hAnsi="Tajawal" w:cs="Tajawal" w:eastAsia="Tajawal"/>
          <w:color w:val="7A3512"/>
          <w:sz w:val="22"/>
          <w:szCs w:val="22"/>
        </w:rPr>
        <w:t>• </w:t>
      </w:r>
      <w:r>
        <w:rPr>
          <w:rFonts w:ascii="Tajawal" w:hAnsi="Tajawal" w:cs="Tajawal" w:eastAsia="Tajawal"/>
        </w:rPr>
        <w:t xml:space="preserve">accounting-office login and role-based menu visibility</w:t>
      </w:r>
    </w:p>
    <w:p>
      <w:pPr>
        <w:pStyle w:val="ListParagraph"/>
      </w:pPr>
      <w:r>
        <w:rPr>
          <w:rFonts w:ascii="Tajawal" w:hAnsi="Tajawal" w:cs="Tajawal" w:eastAsia="Tajawal"/>
          <w:color w:val="7A3512"/>
          <w:sz w:val="22"/>
          <w:szCs w:val="22"/>
        </w:rPr>
        <w:t>• </w:t>
      </w:r>
      <w:r>
        <w:rPr>
          <w:rFonts w:ascii="Tajawal" w:hAnsi="Tajawal" w:cs="Tajawal" w:eastAsia="Tajawal"/>
        </w:rPr>
        <w:t xml:space="preserve">accounting-office creation of client onboarding cases</w:t>
      </w:r>
    </w:p>
    <w:p>
      <w:pPr>
        <w:pStyle w:val="ListParagraph"/>
      </w:pPr>
      <w:r>
        <w:rPr>
          <w:rFonts w:ascii="Tajawal" w:hAnsi="Tajawal" w:cs="Tajawal" w:eastAsia="Tajawal"/>
          <w:color w:val="7A3512"/>
          <w:sz w:val="22"/>
          <w:szCs w:val="22"/>
        </w:rPr>
        <w:t>• </w:t>
      </w:r>
      <w:r>
        <w:rPr>
          <w:rFonts w:ascii="Tajawal" w:hAnsi="Tajawal" w:cs="Tajawal" w:eastAsia="Tajawal"/>
        </w:rPr>
        <w:t xml:space="preserve">mandatory CashLine Operations approval over accounting-office-originated client onboarding</w:t>
      </w:r>
    </w:p>
    <w:p>
      <w:pPr>
        <w:pStyle w:val="ListParagraph"/>
      </w:pPr>
      <w:r>
        <w:rPr>
          <w:rFonts w:ascii="Tajawal" w:hAnsi="Tajawal" w:cs="Tajawal" w:eastAsia="Tajawal"/>
          <w:color w:val="7A3512"/>
          <w:sz w:val="22"/>
          <w:szCs w:val="22"/>
        </w:rPr>
        <w:t>• </w:t>
      </w:r>
      <w:r>
        <w:rPr>
          <w:rFonts w:ascii="Tajawal" w:hAnsi="Tajawal" w:cs="Tajawal" w:eastAsia="Tajawal"/>
        </w:rPr>
        <w:t xml:space="preserve">post-approval client visibility and servicing by assigned accounting offices</w:t>
      </w:r>
    </w:p>
    <w:p>
      <w:pPr>
        <w:pStyle w:val="ListParagraph"/>
      </w:pPr>
      <w:r>
        <w:rPr>
          <w:rFonts w:ascii="Tajawal" w:hAnsi="Tajawal" w:cs="Tajawal" w:eastAsia="Tajawal"/>
          <w:color w:val="7A3512"/>
          <w:sz w:val="22"/>
          <w:szCs w:val="22"/>
        </w:rPr>
        <w:t>• </w:t>
      </w:r>
      <w:r>
        <w:rPr>
          <w:rFonts w:ascii="Tajawal" w:hAnsi="Tajawal" w:cs="Tajawal" w:eastAsia="Tajawal"/>
        </w:rPr>
        <w:t xml:space="preserve">ETA and government-submission scope for the accounting office itself and for assigned clients where enabled</w:t>
      </w:r>
    </w:p>
    <w:p>
      <w:pPr>
        <w:pStyle w:val="Heading2"/>
      </w:pPr>
      <w:r>
        <w:rPr>
          <w:rFonts w:ascii="Tajawal" w:hAnsi="Tajawal" w:cs="Tajawal" w:eastAsia="Tajawal"/>
        </w:rPr>
        <w:t xml:space="preserve">2. Target Release Path</w:t>
      </w:r>
    </w:p>
    <w:tbl>
      <w:tblPr>
        <w:tblStyle w:val="CashLineTable"/>
        <w:tblW w:w="0" w:type="auto"/>
        <w:tblLook w:val="04A0"/>
      </w:tblPr>
      <w:tblGrid>
        <w:gridCol w:w="3008"/>
        <w:gridCol w:w="3008"/>
        <w:gridCol w:w="3008"/>
      </w:tblGrid>
      <w:tr>
        <w:tc>
          <w:tcPr>
            <w:tcW w:w="3008"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Stage</w:t>
            </w:r>
          </w:p>
        </w:tc>
        <w:tc>
          <w:tcPr>
            <w:tcW w:w="3008"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Purpose</w:t>
            </w:r>
          </w:p>
        </w:tc>
        <w:tc>
          <w:tcPr>
            <w:tcW w:w="3008"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Exit Condition</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Development</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Engineering implementation, local verification, and feature preparation</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Code compiles, unit-level checks pass, and feature is ready for QA</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QA</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System testing, regression, negative testing, API validation, and test-data execution</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Functional, API, workflow, permission, and reporting tests pass against controlled test data</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Staging/Pre-production</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Production-like rehearsal and business approval environment</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Production deployment package, migration, rollback, desktop, reporting, and UAT sign-off are complete</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Controlled Production MVP</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Limited real operational use with approved users and clean production data</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Production smoke test passes, users are activated, and hypercare monitoring starts</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Stabilization</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First post-go-live monitoring, defect triage, support, and release correction</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Critical issues are closed or controlled, user feedback is processed, and daily operations stabilize</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Wider rollout</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Expansion to broader user groups, additional modules, and higher transaction volume</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 is stable, controls are proven, and business approves expansion</w:t>
            </w:r>
          </w:p>
        </w:tc>
      </w:tr>
    </w:tbl>
    <w:p>
      <w:pPr>
        <w:pStyle w:val="BodyText"/>
        <w:spacing w:after="120"/>
      </w:pPr>
    </w:p>
    <w:p>
      <w:pPr>
        <w:pStyle w:val="Heading2"/>
      </w:pPr>
      <w:r>
        <w:rPr>
          <w:rFonts w:ascii="Tajawal" w:hAnsi="Tajawal" w:cs="Tajawal" w:eastAsia="Tajawal"/>
        </w:rPr>
        <w:t xml:space="preserve">3. Environment Strategy</w:t>
      </w:r>
    </w:p>
    <w:tbl>
      <w:tblPr>
        <w:tblStyle w:val="CashLineTable"/>
        <w:tblW w:w="0" w:type="auto"/>
        <w:tblLook w:val="04A0"/>
      </w:tblPr>
      <w:tblGrid>
        <w:gridCol w:w="1804"/>
        <w:gridCol w:w="1804"/>
        <w:gridCol w:w="1804"/>
        <w:gridCol w:w="1804"/>
        <w:gridCol w:w="1804"/>
      </w:tblGrid>
      <w:tr>
        <w:tc>
          <w:tcPr>
            <w:tcW w:w="1804"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Environment</w:t>
            </w:r>
          </w:p>
        </w:tc>
        <w:tc>
          <w:tcPr>
            <w:tcW w:w="1804"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Primary Purpose</w:t>
            </w:r>
          </w:p>
        </w:tc>
        <w:tc>
          <w:tcPr>
            <w:tcW w:w="1804"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Data Type</w:t>
            </w:r>
          </w:p>
        </w:tc>
        <w:tc>
          <w:tcPr>
            <w:tcW w:w="1804"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Access Model</w:t>
            </w:r>
          </w:p>
        </w:tc>
        <w:tc>
          <w:tcPr>
            <w:tcW w:w="1804"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Production Similarity</w:t>
            </w:r>
          </w:p>
        </w:tc>
      </w:tr>
      <w:tr>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Development</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Engineering changes and local validation</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Synthetic development data</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Developers and technical team only</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Low to medium</w:t>
            </w:r>
          </w:p>
        </w:tc>
      </w:tr>
      <w:tr>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QA/System Test</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Functional, regression, API, negative, and workflow testing</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Controlled synthetic test data</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QA, product, engineering, selected business testers</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Medium</w:t>
            </w:r>
          </w:p>
        </w:tc>
      </w:tr>
      <w:tr>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Staging/Pre-production</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Final production rehearsal and business sign-off</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Sanitized production-like data or approved test data</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Product owners, QA, release approvers, technical release team</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High</w:t>
            </w:r>
          </w:p>
        </w:tc>
      </w:tr>
      <w:tr>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Production MVP</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Controlled live business operation</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Real live operational data</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Approved business users and approved support roles only</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Final</w:t>
            </w:r>
          </w:p>
        </w:tc>
      </w:tr>
      <w:tr>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Backup/Recovery</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Restore validation and continuity support</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Backup replica or recovery copy</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Technical administrators only</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Recovery-dependent</w:t>
            </w:r>
          </w:p>
        </w:tc>
      </w:tr>
    </w:tbl>
    <w:p>
      <w:pPr>
        <w:pStyle w:val="BodyText"/>
        <w:spacing w:after="120"/>
      </w:pPr>
    </w:p>
    <w:p>
      <w:pPr>
        <w:pStyle w:val="BodyText"/>
      </w:pPr>
      <w:r>
        <w:rPr>
          <w:rFonts w:ascii="Tajawal" w:hAnsi="Tajawal" w:cs="Tajawal" w:eastAsia="Tajawal"/>
        </w:rPr>
        <w:t xml:space="preserve">Staging must mirror production as closely as possible. It should use the same build type, same database engine, same role model, same authentication rules, same environment-variable structure, same integration mode, same desktop package behavior, same reporting/export model, and the same release gates.</w:t>
      </w:r>
    </w:p>
    <w:p>
      <w:pPr>
        <w:pStyle w:val="Heading2"/>
      </w:pPr>
      <w:r>
        <w:rPr>
          <w:rFonts w:ascii="Tajawal" w:hAnsi="Tajawal" w:cs="Tajawal" w:eastAsia="Tajawal"/>
        </w:rPr>
        <w:t xml:space="preserve">4. Deployment Pipeline</w:t>
      </w:r>
    </w:p>
    <w:p>
      <w:pPr>
        <w:pStyle w:val="BodyText"/>
      </w:pPr>
      <w:r>
        <w:rPr>
          <w:rFonts w:ascii="Tajawal" w:hAnsi="Tajawal" w:cs="Tajawal" w:eastAsia="Tajawal"/>
        </w:rPr>
        <w:t xml:space="preserve">The deployment pipeline should be gated and repeatable. No deployment should move forward based on manual confidence alone.</w:t>
      </w:r>
    </w:p>
    <w:tbl>
      <w:tblPr>
        <w:tblStyle w:val="CashLineTable"/>
        <w:tblW w:w="0" w:type="auto"/>
        <w:tblLook w:val="04A0"/>
      </w:tblPr>
      <w:tblGrid>
        <w:gridCol w:w="4512"/>
        <w:gridCol w:w="4512"/>
      </w:tblGrid>
      <w:tr>
        <w:tc>
          <w:tcPr>
            <w:tcW w:w="4512"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Pipeline Step</w:t>
            </w:r>
          </w:p>
        </w:tc>
        <w:tc>
          <w:tcPr>
            <w:tcW w:w="4512"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Required Outcome</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Release branch freeze</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Scope is locked and no unapproved changes are introduced</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Static checks</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Code quality, dependency validation, naming, and structure checks complete</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Backend build</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API/backend package builds successfully</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Frontend build</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Web portal package builds successfully</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Desktop package build</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Desktop shell/package is produced and smoke-testable</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Database migration dry-run</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Schema changes run successfully outside production first</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API regression testing</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Core endpoints return expected responses and errors</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Role/permission testing</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User visibility and access are enforced by role and backend authorization</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Workflow/state transition testing</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Status changes, approvals, returns, holds, and rejections persist correctly</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UI smoke testing</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Web screens load, navigate, and render without production-blocking UI issues</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Desktop smoke testing</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Desktop app launches and follows the same role and navigation rules</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Reporting/export validation</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PDF/Excel/export behavior works for MVP reports</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Backup and rollback package</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Recovery path is available before production deployment</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Staging deployment</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Full package is deployed to staging and validated</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Business UAT sign-off</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Product/business owner confirms readiness</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Production approval</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Release owner approves controlled production deployment</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Production deployment</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Package is deployed to production</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Post-deployment smoke test</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Critical production paths are verified immediately</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Hypercare monitoring</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First stabilization window begins</w:t>
            </w:r>
          </w:p>
        </w:tc>
      </w:tr>
    </w:tbl>
    <w:p>
      <w:pPr>
        <w:pStyle w:val="BodyText"/>
        <w:spacing w:after="120"/>
      </w:pPr>
    </w:p>
    <w:p>
      <w:pPr>
        <w:pStyle w:val="Heading2"/>
      </w:pPr>
      <w:r>
        <w:rPr>
          <w:rFonts w:ascii="Tajawal" w:hAnsi="Tajawal" w:cs="Tajawal" w:eastAsia="Tajawal"/>
        </w:rPr>
        <w:t xml:space="preserve">5. Database Deployment Strategy</w:t>
      </w:r>
    </w:p>
    <w:p>
      <w:pPr>
        <w:pStyle w:val="BodyText"/>
      </w:pPr>
      <w:r>
        <w:rPr>
          <w:rFonts w:ascii="Tajawal" w:hAnsi="Tajawal" w:cs="Tajawal" w:eastAsia="Tajawal"/>
        </w:rPr>
        <w:t xml:space="preserve">The database must be treated as a controlled release asset. Production schema changes must never be performed informally.</w:t>
      </w:r>
    </w:p>
    <w:p>
      <w:pPr>
        <w:pStyle w:val="Callout"/>
      </w:pPr>
      <w:r>
        <w:rPr>
          <w:rFonts w:ascii="Tajawal" w:hAnsi="Tajawal" w:cs="Tajawal" w:eastAsia="Tajawal"/>
        </w:rPr>
        <w:t xml:space="preserve">Mandatory rules:</w:t>
      </w:r>
    </w:p>
    <w:p>
      <w:pPr>
        <w:pStyle w:val="ListParagraph"/>
      </w:pPr>
      <w:r>
        <w:rPr>
          <w:rFonts w:ascii="Tajawal" w:hAnsi="Tajawal" w:cs="Tajawal" w:eastAsia="Tajawal"/>
          <w:color w:val="7A3512"/>
          <w:sz w:val="22"/>
          <w:szCs w:val="22"/>
        </w:rPr>
        <w:t>• </w:t>
      </w:r>
      <w:r>
        <w:rPr>
          <w:rFonts w:ascii="Tajawal" w:hAnsi="Tajawal" w:cs="Tajawal" w:eastAsia="Tajawal"/>
        </w:rPr>
        <w:t xml:space="preserve">Use versioned database migrations only.</w:t>
      </w:r>
    </w:p>
    <w:p>
      <w:pPr>
        <w:pStyle w:val="ListParagraph"/>
      </w:pPr>
      <w:r>
        <w:rPr>
          <w:rFonts w:ascii="Tajawal" w:hAnsi="Tajawal" w:cs="Tajawal" w:eastAsia="Tajawal"/>
          <w:color w:val="7A3512"/>
          <w:sz w:val="22"/>
          <w:szCs w:val="22"/>
        </w:rPr>
        <w:t>• </w:t>
      </w:r>
      <w:r>
        <w:rPr>
          <w:rFonts w:ascii="Tajawal" w:hAnsi="Tajawal" w:cs="Tajawal" w:eastAsia="Tajawal"/>
        </w:rPr>
        <w:t xml:space="preserve">Do not perform manual production schema edits.</w:t>
      </w:r>
    </w:p>
    <w:p>
      <w:pPr>
        <w:pStyle w:val="ListParagraph"/>
      </w:pPr>
      <w:r>
        <w:rPr>
          <w:rFonts w:ascii="Tajawal" w:hAnsi="Tajawal" w:cs="Tajawal" w:eastAsia="Tajawal"/>
          <w:color w:val="7A3512"/>
          <w:sz w:val="22"/>
          <w:szCs w:val="22"/>
        </w:rPr>
        <w:t>• </w:t>
      </w:r>
      <w:r>
        <w:rPr>
          <w:rFonts w:ascii="Tajawal" w:hAnsi="Tajawal" w:cs="Tajawal" w:eastAsia="Tajawal"/>
        </w:rPr>
        <w:t xml:space="preserve">Run every migration first in QA and staging.</w:t>
      </w:r>
    </w:p>
    <w:p>
      <w:pPr>
        <w:pStyle w:val="ListParagraph"/>
      </w:pPr>
      <w:r>
        <w:rPr>
          <w:rFonts w:ascii="Tajawal" w:hAnsi="Tajawal" w:cs="Tajawal" w:eastAsia="Tajawal"/>
          <w:color w:val="7A3512"/>
          <w:sz w:val="22"/>
          <w:szCs w:val="22"/>
        </w:rPr>
        <w:t>• </w:t>
      </w:r>
      <w:r>
        <w:rPr>
          <w:rFonts w:ascii="Tajawal" w:hAnsi="Tajawal" w:cs="Tajawal" w:eastAsia="Tajawal"/>
        </w:rPr>
        <w:t xml:space="preserve">Validate migration ordering and repeatability.</w:t>
      </w:r>
    </w:p>
    <w:p>
      <w:pPr>
        <w:pStyle w:val="ListParagraph"/>
      </w:pPr>
      <w:r>
        <w:rPr>
          <w:rFonts w:ascii="Tajawal" w:hAnsi="Tajawal" w:cs="Tajawal" w:eastAsia="Tajawal"/>
          <w:color w:val="7A3512"/>
          <w:sz w:val="22"/>
          <w:szCs w:val="22"/>
        </w:rPr>
        <w:t>• </w:t>
      </w:r>
      <w:r>
        <w:rPr>
          <w:rFonts w:ascii="Tajawal" w:hAnsi="Tajawal" w:cs="Tajawal" w:eastAsia="Tajawal"/>
        </w:rPr>
        <w:t xml:space="preserve">Take a production backup immediately before deployment.</w:t>
      </w:r>
    </w:p>
    <w:p>
      <w:pPr>
        <w:pStyle w:val="ListParagraph"/>
      </w:pPr>
      <w:r>
        <w:rPr>
          <w:rFonts w:ascii="Tajawal" w:hAnsi="Tajawal" w:cs="Tajawal" w:eastAsia="Tajawal"/>
          <w:color w:val="7A3512"/>
          <w:sz w:val="22"/>
          <w:szCs w:val="22"/>
        </w:rPr>
        <w:t>• </w:t>
      </w:r>
      <w:r>
        <w:rPr>
          <w:rFonts w:ascii="Tajawal" w:hAnsi="Tajawal" w:cs="Tajawal" w:eastAsia="Tajawal"/>
        </w:rPr>
        <w:t xml:space="preserve">Confirm backup availability before applying changes.</w:t>
      </w:r>
    </w:p>
    <w:p>
      <w:pPr>
        <w:pStyle w:val="ListParagraph"/>
      </w:pPr>
      <w:r>
        <w:rPr>
          <w:rFonts w:ascii="Tajawal" w:hAnsi="Tajawal" w:cs="Tajawal" w:eastAsia="Tajawal"/>
          <w:color w:val="7A3512"/>
          <w:sz w:val="22"/>
          <w:szCs w:val="22"/>
        </w:rPr>
        <w:t>• </w:t>
      </w:r>
      <w:r>
        <w:rPr>
          <w:rFonts w:ascii="Tajawal" w:hAnsi="Tajawal" w:cs="Tajawal" w:eastAsia="Tajawal"/>
        </w:rPr>
        <w:t xml:space="preserve">Separate reference/seed data from transactional data.</w:t>
      </w:r>
    </w:p>
    <w:p>
      <w:pPr>
        <w:pStyle w:val="ListParagraph"/>
      </w:pPr>
      <w:r>
        <w:rPr>
          <w:rFonts w:ascii="Tajawal" w:hAnsi="Tajawal" w:cs="Tajawal" w:eastAsia="Tajawal"/>
          <w:color w:val="7A3512"/>
          <w:sz w:val="22"/>
          <w:szCs w:val="22"/>
        </w:rPr>
        <w:t>• </w:t>
      </w:r>
      <w:r>
        <w:rPr>
          <w:rFonts w:ascii="Tajawal" w:hAnsi="Tajawal" w:cs="Tajawal" w:eastAsia="Tajawal"/>
        </w:rPr>
        <w:t xml:space="preserve">Keep UAT/demo/test data out of production.</w:t>
      </w:r>
    </w:p>
    <w:p>
      <w:pPr>
        <w:pStyle w:val="ListParagraph"/>
      </w:pPr>
      <w:r>
        <w:rPr>
          <w:rFonts w:ascii="Tajawal" w:hAnsi="Tajawal" w:cs="Tajawal" w:eastAsia="Tajawal"/>
          <w:color w:val="7A3512"/>
          <w:sz w:val="22"/>
          <w:szCs w:val="22"/>
        </w:rPr>
        <w:t>• </w:t>
      </w:r>
      <w:r>
        <w:rPr>
          <w:rFonts w:ascii="Tajawal" w:hAnsi="Tajawal" w:cs="Tajawal" w:eastAsia="Tajawal"/>
        </w:rPr>
        <w:t xml:space="preserve">Store migration execution evidence as part of the release record.</w:t>
      </w:r>
    </w:p>
    <w:p>
      <w:pPr>
        <w:pStyle w:val="ListParagraph"/>
      </w:pPr>
      <w:r>
        <w:rPr>
          <w:rFonts w:ascii="Tajawal" w:hAnsi="Tajawal" w:cs="Tajawal" w:eastAsia="Tajawal"/>
          <w:color w:val="7A3512"/>
          <w:sz w:val="22"/>
          <w:szCs w:val="22"/>
        </w:rPr>
        <w:t>• </w:t>
      </w:r>
      <w:r>
        <w:rPr>
          <w:rFonts w:ascii="Tajawal" w:hAnsi="Tajawal" w:cs="Tajawal" w:eastAsia="Tajawal"/>
        </w:rPr>
        <w:t xml:space="preserve">Maintain a rollback or recovery strategy for each production deployment.</w:t>
      </w:r>
    </w:p>
    <w:p>
      <w:pPr>
        <w:pStyle w:val="Heading2"/>
      </w:pPr>
      <w:r>
        <w:rPr>
          <w:rFonts w:ascii="Tajawal" w:hAnsi="Tajawal" w:cs="Tajawal" w:eastAsia="Tajawal"/>
        </w:rPr>
        <w:t xml:space="preserve">6. Database Test Loading</w:t>
      </w:r>
    </w:p>
    <w:p>
      <w:pPr>
        <w:pStyle w:val="BodyText"/>
      </w:pPr>
      <w:r>
        <w:rPr>
          <w:rFonts w:ascii="Tajawal" w:hAnsi="Tajawal" w:cs="Tajawal" w:eastAsia="Tajawal"/>
        </w:rPr>
        <w:t xml:space="preserve">QA and staging should use repeatable, script-loaded test data. Test data should not depend on manual screen-by-screen creation.</w:t>
      </w:r>
    </w:p>
    <w:tbl>
      <w:tblPr>
        <w:tblStyle w:val="CashLineTable"/>
        <w:tblW w:w="0" w:type="auto"/>
        <w:tblLook w:val="04A0"/>
      </w:tblPr>
      <w:tblGrid>
        <w:gridCol w:w="2256"/>
        <w:gridCol w:w="2256"/>
        <w:gridCol w:w="2256"/>
        <w:gridCol w:w="2256"/>
      </w:tblGrid>
      <w:tr>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Data Category</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QA</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Staging/Pre-production</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Production MVP</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Synthetic onboarding cases</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Yes</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Yes</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No</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Supplier/customer sample journeys</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Yes</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Yes</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No</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Accounting-office and office-managed-client sample journeys</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Yes</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Yes</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No</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Admin/System Owner accounts</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Yes</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Yes</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Yes, controlled</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Role/function/menu configuration</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Yes</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Yes</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Yes</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Reference and lookup data</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Yes</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Yes</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Yes</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Notification templates</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Yes</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Yes</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Yes, production-approved only</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Report definitions</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Yes</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Yes</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Yes, production-approved only</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Demo guidance or UAT support content</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No</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No</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No</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Sample transactional data</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Yes</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Optional, sanitized only</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No</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Live operational records</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No</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No, unless sanitized and approved</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Yes</w:t>
            </w:r>
          </w:p>
        </w:tc>
      </w:tr>
    </w:tbl>
    <w:p>
      <w:pPr>
        <w:pStyle w:val="BodyText"/>
        <w:spacing w:after="120"/>
      </w:pPr>
    </w:p>
    <w:p>
      <w:pPr>
        <w:pStyle w:val="Heading2"/>
      </w:pPr>
      <w:r>
        <w:rPr>
          <w:rFonts w:ascii="Tajawal" w:hAnsi="Tajawal" w:cs="Tajawal" w:eastAsia="Tajawal"/>
        </w:rPr>
        <w:t xml:space="preserve">7. Production Data Loading</w:t>
      </w:r>
    </w:p>
    <w:p>
      <w:pPr>
        <w:pStyle w:val="BodyText"/>
      </w:pPr>
      <w:r>
        <w:rPr>
          <w:rFonts w:ascii="Tajawal" w:hAnsi="Tajawal" w:cs="Tajawal" w:eastAsia="Tajawal"/>
        </w:rPr>
        <w:t xml:space="preserve">Production must start clean. Only approved operational data and configuration should be loaded.</w:t>
      </w:r>
    </w:p>
    <w:p>
      <w:pPr>
        <w:pStyle w:val="Callout"/>
      </w:pPr>
      <w:r>
        <w:rPr>
          <w:rFonts w:ascii="Tajawal" w:hAnsi="Tajawal" w:cs="Tajawal" w:eastAsia="Tajawal"/>
        </w:rPr>
        <w:t xml:space="preserve">Production load should include:</w:t>
      </w:r>
    </w:p>
    <w:p>
      <w:pPr>
        <w:pStyle w:val="ListParagraph"/>
      </w:pPr>
      <w:r>
        <w:rPr>
          <w:rFonts w:ascii="Tajawal" w:hAnsi="Tajawal" w:cs="Tajawal" w:eastAsia="Tajawal"/>
          <w:color w:val="7A3512"/>
          <w:sz w:val="22"/>
          <w:szCs w:val="22"/>
        </w:rPr>
        <w:t>• </w:t>
      </w:r>
      <w:r>
        <w:rPr>
          <w:rFonts w:ascii="Tajawal" w:hAnsi="Tajawal" w:cs="Tajawal" w:eastAsia="Tajawal"/>
        </w:rPr>
        <w:t xml:space="preserve">System Owner account.</w:t>
      </w:r>
    </w:p>
    <w:p>
      <w:pPr>
        <w:pStyle w:val="ListParagraph"/>
      </w:pPr>
      <w:r>
        <w:rPr>
          <w:rFonts w:ascii="Tajawal" w:hAnsi="Tajawal" w:cs="Tajawal" w:eastAsia="Tajawal"/>
          <w:color w:val="7A3512"/>
          <w:sz w:val="22"/>
          <w:szCs w:val="22"/>
        </w:rPr>
        <w:t>• </w:t>
      </w:r>
      <w:r>
        <w:rPr>
          <w:rFonts w:ascii="Tajawal" w:hAnsi="Tajawal" w:cs="Tajawal" w:eastAsia="Tajawal"/>
        </w:rPr>
        <w:t xml:space="preserve">Approved Administrator account.</w:t>
      </w:r>
    </w:p>
    <w:p>
      <w:pPr>
        <w:pStyle w:val="ListParagraph"/>
      </w:pPr>
      <w:r>
        <w:rPr>
          <w:rFonts w:ascii="Tajawal" w:hAnsi="Tajawal" w:cs="Tajawal" w:eastAsia="Tajawal"/>
          <w:color w:val="7A3512"/>
          <w:sz w:val="22"/>
          <w:szCs w:val="22"/>
        </w:rPr>
        <w:t>• </w:t>
      </w:r>
      <w:r>
        <w:rPr>
          <w:rFonts w:ascii="Tajawal" w:hAnsi="Tajawal" w:cs="Tajawal" w:eastAsia="Tajawal"/>
        </w:rPr>
        <w:t xml:space="preserve">Approved initial business users.</w:t>
      </w:r>
    </w:p>
    <w:p>
      <w:pPr>
        <w:pStyle w:val="ListParagraph"/>
      </w:pPr>
      <w:r>
        <w:rPr>
          <w:rFonts w:ascii="Tajawal" w:hAnsi="Tajawal" w:cs="Tajawal" w:eastAsia="Tajawal"/>
          <w:color w:val="7A3512"/>
          <w:sz w:val="22"/>
          <w:szCs w:val="22"/>
        </w:rPr>
        <w:t>• </w:t>
      </w:r>
      <w:r>
        <w:rPr>
          <w:rFonts w:ascii="Tajawal" w:hAnsi="Tajawal" w:cs="Tajawal" w:eastAsia="Tajawal"/>
        </w:rPr>
        <w:t xml:space="preserve">Approved initial accounting-office users and governed role/function assignments if the module is active in MVP.</w:t>
      </w:r>
    </w:p>
    <w:p>
      <w:pPr>
        <w:pStyle w:val="ListParagraph"/>
      </w:pPr>
      <w:r>
        <w:rPr>
          <w:rFonts w:ascii="Tajawal" w:hAnsi="Tajawal" w:cs="Tajawal" w:eastAsia="Tajawal"/>
          <w:color w:val="7A3512"/>
          <w:sz w:val="22"/>
          <w:szCs w:val="22"/>
        </w:rPr>
        <w:t>• </w:t>
      </w:r>
      <w:r>
        <w:rPr>
          <w:rFonts w:ascii="Tajawal" w:hAnsi="Tajawal" w:cs="Tajawal" w:eastAsia="Tajawal"/>
        </w:rPr>
        <w:t xml:space="preserve">Role, function, permission, and side-menu governance configuration.</w:t>
      </w:r>
    </w:p>
    <w:p>
      <w:pPr>
        <w:pStyle w:val="ListParagraph"/>
      </w:pPr>
      <w:r>
        <w:rPr>
          <w:rFonts w:ascii="Tajawal" w:hAnsi="Tajawal" w:cs="Tajawal" w:eastAsia="Tajawal"/>
          <w:color w:val="7A3512"/>
          <w:sz w:val="22"/>
          <w:szCs w:val="22"/>
        </w:rPr>
        <w:t>• </w:t>
      </w:r>
      <w:r>
        <w:rPr>
          <w:rFonts w:ascii="Tajawal" w:hAnsi="Tajawal" w:cs="Tajawal" w:eastAsia="Tajawal"/>
        </w:rPr>
        <w:t xml:space="preserve">Required workflow configuration.</w:t>
      </w:r>
    </w:p>
    <w:p>
      <w:pPr>
        <w:pStyle w:val="ListParagraph"/>
      </w:pPr>
      <w:r>
        <w:rPr>
          <w:rFonts w:ascii="Tajawal" w:hAnsi="Tajawal" w:cs="Tajawal" w:eastAsia="Tajawal"/>
          <w:color w:val="7A3512"/>
          <w:sz w:val="22"/>
          <w:szCs w:val="22"/>
        </w:rPr>
        <w:t>• </w:t>
      </w:r>
      <w:r>
        <w:rPr>
          <w:rFonts w:ascii="Tajawal" w:hAnsi="Tajawal" w:cs="Tajawal" w:eastAsia="Tajawal"/>
        </w:rPr>
        <w:t xml:space="preserve">Required lookup/reference tables.</w:t>
      </w:r>
    </w:p>
    <w:p>
      <w:pPr>
        <w:pStyle w:val="ListParagraph"/>
      </w:pPr>
      <w:r>
        <w:rPr>
          <w:rFonts w:ascii="Tajawal" w:hAnsi="Tajawal" w:cs="Tajawal" w:eastAsia="Tajawal"/>
          <w:color w:val="7A3512"/>
          <w:sz w:val="22"/>
          <w:szCs w:val="22"/>
        </w:rPr>
        <w:t>• </w:t>
      </w:r>
      <w:r>
        <w:rPr>
          <w:rFonts w:ascii="Tajawal" w:hAnsi="Tajawal" w:cs="Tajawal" w:eastAsia="Tajawal"/>
        </w:rPr>
        <w:t xml:space="preserve">Required report definitions.</w:t>
      </w:r>
    </w:p>
    <w:p>
      <w:pPr>
        <w:pStyle w:val="ListParagraph"/>
      </w:pPr>
      <w:r>
        <w:rPr>
          <w:rFonts w:ascii="Tajawal" w:hAnsi="Tajawal" w:cs="Tajawal" w:eastAsia="Tajawal"/>
          <w:color w:val="7A3512"/>
          <w:sz w:val="22"/>
          <w:szCs w:val="22"/>
        </w:rPr>
        <w:t>• </w:t>
      </w:r>
      <w:r>
        <w:rPr>
          <w:rFonts w:ascii="Tajawal" w:hAnsi="Tajawal" w:cs="Tajawal" w:eastAsia="Tajawal"/>
        </w:rPr>
        <w:t xml:space="preserve">Required notification templates.</w:t>
      </w:r>
    </w:p>
    <w:p>
      <w:pPr>
        <w:pStyle w:val="ListParagraph"/>
      </w:pPr>
      <w:r>
        <w:rPr>
          <w:rFonts w:ascii="Tajawal" w:hAnsi="Tajawal" w:cs="Tajawal" w:eastAsia="Tajawal"/>
          <w:color w:val="7A3512"/>
          <w:sz w:val="22"/>
          <w:szCs w:val="22"/>
        </w:rPr>
        <w:t>• </w:t>
      </w:r>
      <w:r>
        <w:rPr>
          <w:rFonts w:ascii="Tajawal" w:hAnsi="Tajawal" w:cs="Tajawal" w:eastAsia="Tajawal"/>
        </w:rPr>
        <w:t xml:space="preserve">Required audit and operational settings.</w:t>
      </w:r>
    </w:p>
    <w:p>
      <w:pPr>
        <w:pStyle w:val="ListParagraph"/>
      </w:pPr>
      <w:r>
        <w:rPr>
          <w:rFonts w:ascii="Tajawal" w:hAnsi="Tajawal" w:cs="Tajawal" w:eastAsia="Tajawal"/>
          <w:color w:val="7A3512"/>
          <w:sz w:val="22"/>
          <w:szCs w:val="22"/>
        </w:rPr>
        <w:t>• </w:t>
      </w:r>
      <w:r>
        <w:rPr>
          <w:rFonts w:ascii="Tajawal" w:hAnsi="Tajawal" w:cs="Tajawal" w:eastAsia="Tajawal"/>
        </w:rPr>
        <w:t xml:space="preserve">Required integration configuration in production-safe mode.</w:t>
      </w:r>
    </w:p>
    <w:p>
      <w:pPr>
        <w:pStyle w:val="ListParagraph"/>
      </w:pPr>
      <w:r>
        <w:rPr>
          <w:rFonts w:ascii="Tajawal" w:hAnsi="Tajawal" w:cs="Tajawal" w:eastAsia="Tajawal"/>
          <w:color w:val="7A3512"/>
          <w:sz w:val="22"/>
          <w:szCs w:val="22"/>
        </w:rPr>
        <w:t>• </w:t>
      </w:r>
      <w:r>
        <w:rPr>
          <w:rFonts w:ascii="Tajawal" w:hAnsi="Tajawal" w:cs="Tajawal" w:eastAsia="Tajawal"/>
        </w:rPr>
        <w:t xml:space="preserve">Islamic Finance controlled/disabled/preparatory flags if Islamic Finance is not active in MVP.</w:t>
      </w:r>
    </w:p>
    <w:p>
      <w:pPr>
        <w:pStyle w:val="Callout"/>
      </w:pPr>
      <w:r>
        <w:rPr>
          <w:rFonts w:ascii="Tajawal" w:hAnsi="Tajawal" w:cs="Tajawal" w:eastAsia="Tajawal"/>
        </w:rPr>
        <w:t xml:space="preserve">Production load must exclude:</w:t>
      </w:r>
    </w:p>
    <w:p>
      <w:pPr>
        <w:pStyle w:val="ListParagraph"/>
      </w:pPr>
      <w:r>
        <w:rPr>
          <w:rFonts w:ascii="Tajawal" w:hAnsi="Tajawal" w:cs="Tajawal" w:eastAsia="Tajawal"/>
          <w:color w:val="7A3512"/>
          <w:sz w:val="22"/>
          <w:szCs w:val="22"/>
        </w:rPr>
        <w:t>• </w:t>
      </w:r>
      <w:r>
        <w:rPr>
          <w:rFonts w:ascii="Tajawal" w:hAnsi="Tajawal" w:cs="Tajawal" w:eastAsia="Tajawal"/>
        </w:rPr>
        <w:t xml:space="preserve">UAT users.</w:t>
      </w:r>
    </w:p>
    <w:p>
      <w:pPr>
        <w:pStyle w:val="ListParagraph"/>
      </w:pPr>
      <w:r>
        <w:rPr>
          <w:rFonts w:ascii="Tajawal" w:hAnsi="Tajawal" w:cs="Tajawal" w:eastAsia="Tajawal"/>
          <w:color w:val="7A3512"/>
          <w:sz w:val="22"/>
          <w:szCs w:val="22"/>
        </w:rPr>
        <w:t>• </w:t>
      </w:r>
      <w:r>
        <w:rPr>
          <w:rFonts w:ascii="Tajawal" w:hAnsi="Tajawal" w:cs="Tajawal" w:eastAsia="Tajawal"/>
        </w:rPr>
        <w:t xml:space="preserve">Demo users.</w:t>
      </w:r>
    </w:p>
    <w:p>
      <w:pPr>
        <w:pStyle w:val="ListParagraph"/>
      </w:pPr>
      <w:r>
        <w:rPr>
          <w:rFonts w:ascii="Tajawal" w:hAnsi="Tajawal" w:cs="Tajawal" w:eastAsia="Tajawal"/>
          <w:color w:val="7A3512"/>
          <w:sz w:val="22"/>
          <w:szCs w:val="22"/>
        </w:rPr>
        <w:t>• </w:t>
      </w:r>
      <w:r>
        <w:rPr>
          <w:rFonts w:ascii="Tajawal" w:hAnsi="Tajawal" w:cs="Tajawal" w:eastAsia="Tajawal"/>
        </w:rPr>
        <w:t xml:space="preserve">Sample supplier/customer records.</w:t>
      </w:r>
    </w:p>
    <w:p>
      <w:pPr>
        <w:pStyle w:val="ListParagraph"/>
      </w:pPr>
      <w:r>
        <w:rPr>
          <w:rFonts w:ascii="Tajawal" w:hAnsi="Tajawal" w:cs="Tajawal" w:eastAsia="Tajawal"/>
          <w:color w:val="7A3512"/>
          <w:sz w:val="22"/>
          <w:szCs w:val="22"/>
        </w:rPr>
        <w:t>• </w:t>
      </w:r>
      <w:r>
        <w:rPr>
          <w:rFonts w:ascii="Tajawal" w:hAnsi="Tajawal" w:cs="Tajawal" w:eastAsia="Tajawal"/>
        </w:rPr>
        <w:t xml:space="preserve">Historical test cases.</w:t>
      </w:r>
    </w:p>
    <w:p>
      <w:pPr>
        <w:pStyle w:val="ListParagraph"/>
      </w:pPr>
      <w:r>
        <w:rPr>
          <w:rFonts w:ascii="Tajawal" w:hAnsi="Tajawal" w:cs="Tajawal" w:eastAsia="Tajawal"/>
          <w:color w:val="7A3512"/>
          <w:sz w:val="22"/>
          <w:szCs w:val="22"/>
        </w:rPr>
        <w:t>• </w:t>
      </w:r>
      <w:r>
        <w:rPr>
          <w:rFonts w:ascii="Tajawal" w:hAnsi="Tajawal" w:cs="Tajawal" w:eastAsia="Tajawal"/>
        </w:rPr>
        <w:t xml:space="preserve">Static guideline cards.</w:t>
      </w:r>
    </w:p>
    <w:p>
      <w:pPr>
        <w:pStyle w:val="ListParagraph"/>
      </w:pPr>
      <w:r>
        <w:rPr>
          <w:rFonts w:ascii="Tajawal" w:hAnsi="Tajawal" w:cs="Tajawal" w:eastAsia="Tajawal"/>
          <w:color w:val="7A3512"/>
          <w:sz w:val="22"/>
          <w:szCs w:val="22"/>
        </w:rPr>
        <w:t>• </w:t>
      </w:r>
      <w:r>
        <w:rPr>
          <w:rFonts w:ascii="Tajawal" w:hAnsi="Tajawal" w:cs="Tajawal" w:eastAsia="Tajawal"/>
        </w:rPr>
        <w:t xml:space="preserve">Demo banners.</w:t>
      </w:r>
    </w:p>
    <w:p>
      <w:pPr>
        <w:pStyle w:val="ListParagraph"/>
      </w:pPr>
      <w:r>
        <w:rPr>
          <w:rFonts w:ascii="Tajawal" w:hAnsi="Tajawal" w:cs="Tajawal" w:eastAsia="Tajawal"/>
          <w:color w:val="7A3512"/>
          <w:sz w:val="22"/>
          <w:szCs w:val="22"/>
        </w:rPr>
        <w:t>• </w:t>
      </w:r>
      <w:r>
        <w:rPr>
          <w:rFonts w:ascii="Tajawal" w:hAnsi="Tajawal" w:cs="Tajawal" w:eastAsia="Tajawal"/>
        </w:rPr>
        <w:t xml:space="preserve">Placeholder records.</w:t>
      </w:r>
    </w:p>
    <w:p>
      <w:pPr>
        <w:pStyle w:val="ListParagraph"/>
      </w:pPr>
      <w:r>
        <w:rPr>
          <w:rFonts w:ascii="Tajawal" w:hAnsi="Tajawal" w:cs="Tajawal" w:eastAsia="Tajawal"/>
          <w:color w:val="7A3512"/>
          <w:sz w:val="22"/>
          <w:szCs w:val="22"/>
        </w:rPr>
        <w:t>• </w:t>
      </w:r>
      <w:r>
        <w:rPr>
          <w:rFonts w:ascii="Tajawal" w:hAnsi="Tajawal" w:cs="Tajawal" w:eastAsia="Tajawal"/>
        </w:rPr>
        <w:t xml:space="preserve">Training-only instructions.</w:t>
      </w:r>
    </w:p>
    <w:p>
      <w:pPr>
        <w:pStyle w:val="ListParagraph"/>
      </w:pPr>
      <w:r>
        <w:rPr>
          <w:rFonts w:ascii="Tajawal" w:hAnsi="Tajawal" w:cs="Tajawal" w:eastAsia="Tajawal"/>
          <w:color w:val="7A3512"/>
          <w:sz w:val="22"/>
          <w:szCs w:val="22"/>
        </w:rPr>
        <w:t>• </w:t>
      </w:r>
      <w:r>
        <w:rPr>
          <w:rFonts w:ascii="Tajawal" w:hAnsi="Tajawal" w:cs="Tajawal" w:eastAsia="Tajawal"/>
        </w:rPr>
        <w:t xml:space="preserve">Non-operational service-layer explanations.</w:t>
      </w:r>
    </w:p>
    <w:p>
      <w:pPr>
        <w:pStyle w:val="Heading2"/>
      </w:pPr>
      <w:r>
        <w:rPr>
          <w:rFonts w:ascii="Tajawal" w:hAnsi="Tajawal" w:cs="Tajawal" w:eastAsia="Tajawal"/>
        </w:rPr>
        <w:t xml:space="preserve">8. System Test Loading</w:t>
      </w:r>
    </w:p>
    <w:p>
      <w:pPr>
        <w:pStyle w:val="BodyText"/>
      </w:pPr>
      <w:r>
        <w:rPr>
          <w:rFonts w:ascii="Tajawal" w:hAnsi="Tajawal" w:cs="Tajawal" w:eastAsia="Tajawal"/>
        </w:rPr>
        <w:t xml:space="preserve">The QA and staging test pack should cover all core MVP journeys and control points.</w:t>
      </w:r>
    </w:p>
    <w:tbl>
      <w:tblPr>
        <w:tblStyle w:val="CashLineTable"/>
        <w:tblW w:w="0" w:type="auto"/>
        <w:tblLook w:val="04A0"/>
      </w:tblPr>
      <w:tblGrid>
        <w:gridCol w:w="4512"/>
        <w:gridCol w:w="4512"/>
      </w:tblGrid>
      <w:tr>
        <w:tc>
          <w:tcPr>
            <w:tcW w:w="4512"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Test Area</w:t>
            </w:r>
          </w:p>
        </w:tc>
        <w:tc>
          <w:tcPr>
            <w:tcW w:w="4512"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Required Scenario Coverage</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Supplier onboarding</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Supplier submits onboarding, KYC, documents, review, approval, activation, and portal access</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Customer onboarding</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Customer submits onboarding, review, approval, activation, and portal access</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Accounting-office onboarding</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Accounting office submits its own onboarding, Operations approves, and governed access becomes active</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Accounting-office managed client onboarding</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Accounting office creates client case, uploads evidence, Operations approves/rejects/returns/holds, and approved client becomes active</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Accounting-office delegated servicing</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Approved accounting office sees only assigned approved clients and can view invoices, statements, reports, and ETA/government actions within scope</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Internal operations</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Review, approve, reject, return, hold, reopen, and status tracking</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Supplier to procurement to AP settlement</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Supplier profile, procurement event, payable creation, settlement status, reporting impact</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Customer to sales to AR receipt</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Customer profile, sales event, receivable creation, payment receipt, reporting impact</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Administrator governance</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Create user, suspend, hold, revoke, delete, mandatory reason capture, report output</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System Owner governance</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Create/govern Administrator only, with no business-module access</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Role/function governance</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Assign/remove functions and validate sidebar/API enforcement</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Notifications</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Create, deliver, retry, fail, recover, and expose notification status</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Reports</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Dashboard to report to drilldown consistency and PDF/Excel export</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Negative access</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Unauthorized routes, hidden menu items, invalid role access, and API denial</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Validation</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Missing required fields, invalid formats, duplicate records, and blocked status transitions</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Web/Desktop parity</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Same role, navigation, visibility, and action behavior across web and desktop</w:t>
            </w:r>
          </w:p>
        </w:tc>
      </w:tr>
    </w:tbl>
    <w:p>
      <w:pPr>
        <w:pStyle w:val="BodyText"/>
        <w:spacing w:after="120"/>
      </w:pPr>
    </w:p>
    <w:p>
      <w:pPr>
        <w:pStyle w:val="Heading2"/>
      </w:pPr>
      <w:r>
        <w:rPr>
          <w:rFonts w:ascii="Tajawal" w:hAnsi="Tajawal" w:cs="Tajawal" w:eastAsia="Tajawal"/>
        </w:rPr>
        <w:t xml:space="preserve">9. Staging/Pre-production Exit Criteria</w:t>
      </w:r>
    </w:p>
    <w:p>
      <w:pPr>
        <w:pStyle w:val="BodyText"/>
      </w:pPr>
      <w:r>
        <w:rPr>
          <w:rFonts w:ascii="Tajawal" w:hAnsi="Tajawal" w:cs="Tajawal" w:eastAsia="Tajawal"/>
        </w:rPr>
        <w:t xml:space="preserve">Staging is ready for production promotion only when all of the following are true:</w:t>
      </w:r>
    </w:p>
    <w:p>
      <w:pPr>
        <w:pStyle w:val="ListParagraph"/>
      </w:pPr>
      <w:r>
        <w:rPr>
          <w:rFonts w:ascii="Tajawal" w:hAnsi="Tajawal" w:cs="Tajawal" w:eastAsia="Tajawal"/>
          <w:color w:val="7A3512"/>
          <w:sz w:val="22"/>
          <w:szCs w:val="22"/>
        </w:rPr>
        <w:t>• </w:t>
      </w:r>
      <w:r>
        <w:rPr>
          <w:rFonts w:ascii="Tajawal" w:hAnsi="Tajawal" w:cs="Tajawal" w:eastAsia="Tajawal"/>
        </w:rPr>
        <w:t xml:space="preserve">Backend health checks pass.</w:t>
      </w:r>
    </w:p>
    <w:p>
      <w:pPr>
        <w:pStyle w:val="ListParagraph"/>
      </w:pPr>
      <w:r>
        <w:rPr>
          <w:rFonts w:ascii="Tajawal" w:hAnsi="Tajawal" w:cs="Tajawal" w:eastAsia="Tajawal"/>
          <w:color w:val="7A3512"/>
          <w:sz w:val="22"/>
          <w:szCs w:val="22"/>
        </w:rPr>
        <w:t>• </w:t>
      </w:r>
      <w:r>
        <w:rPr>
          <w:rFonts w:ascii="Tajawal" w:hAnsi="Tajawal" w:cs="Tajawal" w:eastAsia="Tajawal"/>
        </w:rPr>
        <w:t xml:space="preserve">Frontend loads correctly.</w:t>
      </w:r>
    </w:p>
    <w:p>
      <w:pPr>
        <w:pStyle w:val="ListParagraph"/>
      </w:pPr>
      <w:r>
        <w:rPr>
          <w:rFonts w:ascii="Tajawal" w:hAnsi="Tajawal" w:cs="Tajawal" w:eastAsia="Tajawal"/>
          <w:color w:val="7A3512"/>
          <w:sz w:val="22"/>
          <w:szCs w:val="22"/>
        </w:rPr>
        <w:t>• </w:t>
      </w:r>
      <w:r>
        <w:rPr>
          <w:rFonts w:ascii="Tajawal" w:hAnsi="Tajawal" w:cs="Tajawal" w:eastAsia="Tajawal"/>
        </w:rPr>
        <w:t xml:space="preserve">Desktop app launches correctly.</w:t>
      </w:r>
    </w:p>
    <w:p>
      <w:pPr>
        <w:pStyle w:val="ListParagraph"/>
      </w:pPr>
      <w:r>
        <w:rPr>
          <w:rFonts w:ascii="Tajawal" w:hAnsi="Tajawal" w:cs="Tajawal" w:eastAsia="Tajawal"/>
          <w:color w:val="7A3512"/>
          <w:sz w:val="22"/>
          <w:szCs w:val="22"/>
        </w:rPr>
        <w:t>• </w:t>
      </w:r>
      <w:r>
        <w:rPr>
          <w:rFonts w:ascii="Tajawal" w:hAnsi="Tajawal" w:cs="Tajawal" w:eastAsia="Tajawal"/>
        </w:rPr>
        <w:t xml:space="preserve">Login works for all approved MVP roles.</w:t>
      </w:r>
    </w:p>
    <w:p>
      <w:pPr>
        <w:pStyle w:val="ListParagraph"/>
      </w:pPr>
      <w:r>
        <w:rPr>
          <w:rFonts w:ascii="Tajawal" w:hAnsi="Tajawal" w:cs="Tajawal" w:eastAsia="Tajawal"/>
          <w:color w:val="7A3512"/>
          <w:sz w:val="22"/>
          <w:szCs w:val="22"/>
        </w:rPr>
        <w:t>• </w:t>
      </w:r>
      <w:r>
        <w:rPr>
          <w:rFonts w:ascii="Tajawal" w:hAnsi="Tajawal" w:cs="Tajawal" w:eastAsia="Tajawal"/>
        </w:rPr>
        <w:t xml:space="preserve">System Owner sees only Administrator governance.</w:t>
      </w:r>
    </w:p>
    <w:p>
      <w:pPr>
        <w:pStyle w:val="ListParagraph"/>
      </w:pPr>
      <w:r>
        <w:rPr>
          <w:rFonts w:ascii="Tajawal" w:hAnsi="Tajawal" w:cs="Tajawal" w:eastAsia="Tajawal"/>
          <w:color w:val="7A3512"/>
          <w:sz w:val="22"/>
          <w:szCs w:val="22"/>
        </w:rPr>
        <w:t>• </w:t>
      </w:r>
      <w:r>
        <w:rPr>
          <w:rFonts w:ascii="Tajawal" w:hAnsi="Tajawal" w:cs="Tajawal" w:eastAsia="Tajawal"/>
        </w:rPr>
        <w:t xml:space="preserve">Administrator sees only user creation and function administration.</w:t>
      </w:r>
    </w:p>
    <w:p>
      <w:pPr>
        <w:pStyle w:val="ListParagraph"/>
      </w:pPr>
      <w:r>
        <w:rPr>
          <w:rFonts w:ascii="Tajawal" w:hAnsi="Tajawal" w:cs="Tajawal" w:eastAsia="Tajawal"/>
          <w:color w:val="7A3512"/>
          <w:sz w:val="22"/>
          <w:szCs w:val="22"/>
        </w:rPr>
        <w:t>• </w:t>
      </w:r>
      <w:r>
        <w:rPr>
          <w:rFonts w:ascii="Tajawal" w:hAnsi="Tajawal" w:cs="Tajawal" w:eastAsia="Tajawal"/>
        </w:rPr>
        <w:t xml:space="preserve">Supplier users see only Supplier-permitted functions.</w:t>
      </w:r>
    </w:p>
    <w:p>
      <w:pPr>
        <w:pStyle w:val="ListParagraph"/>
      </w:pPr>
      <w:r>
        <w:rPr>
          <w:rFonts w:ascii="Tajawal" w:hAnsi="Tajawal" w:cs="Tajawal" w:eastAsia="Tajawal"/>
          <w:color w:val="7A3512"/>
          <w:sz w:val="22"/>
          <w:szCs w:val="22"/>
        </w:rPr>
        <w:t>• </w:t>
      </w:r>
      <w:r>
        <w:rPr>
          <w:rFonts w:ascii="Tajawal" w:hAnsi="Tajawal" w:cs="Tajawal" w:eastAsia="Tajawal"/>
        </w:rPr>
        <w:t xml:space="preserve">Customer users see only Customer-permitted functions.</w:t>
      </w:r>
    </w:p>
    <w:p>
      <w:pPr>
        <w:pStyle w:val="ListParagraph"/>
      </w:pPr>
      <w:r>
        <w:rPr>
          <w:rFonts w:ascii="Tajawal" w:hAnsi="Tajawal" w:cs="Tajawal" w:eastAsia="Tajawal"/>
          <w:color w:val="7A3512"/>
          <w:sz w:val="22"/>
          <w:szCs w:val="22"/>
        </w:rPr>
        <w:t>• </w:t>
      </w:r>
      <w:r>
        <w:rPr>
          <w:rFonts w:ascii="Tajawal" w:hAnsi="Tajawal" w:cs="Tajawal" w:eastAsia="Tajawal"/>
        </w:rPr>
        <w:t xml:space="preserve">Accounting-office users see only accounting-office-permitted functions and only assigned office/client scope.</w:t>
      </w:r>
    </w:p>
    <w:p>
      <w:pPr>
        <w:pStyle w:val="ListParagraph"/>
      </w:pPr>
      <w:r>
        <w:rPr>
          <w:rFonts w:ascii="Tajawal" w:hAnsi="Tajawal" w:cs="Tajawal" w:eastAsia="Tajawal"/>
          <w:color w:val="7A3512"/>
          <w:sz w:val="22"/>
          <w:szCs w:val="22"/>
        </w:rPr>
        <w:t>• </w:t>
      </w:r>
      <w:r>
        <w:rPr>
          <w:rFonts w:ascii="Tajawal" w:hAnsi="Tajawal" w:cs="Tajawal" w:eastAsia="Tajawal"/>
        </w:rPr>
        <w:t xml:space="preserve">Internal users see only role-permitted functions.</w:t>
      </w:r>
    </w:p>
    <w:p>
      <w:pPr>
        <w:pStyle w:val="ListParagraph"/>
      </w:pPr>
      <w:r>
        <w:rPr>
          <w:rFonts w:ascii="Tajawal" w:hAnsi="Tajawal" w:cs="Tajawal" w:eastAsia="Tajawal"/>
          <w:color w:val="7A3512"/>
          <w:sz w:val="22"/>
          <w:szCs w:val="22"/>
        </w:rPr>
        <w:t>• </w:t>
      </w:r>
      <w:r>
        <w:rPr>
          <w:rFonts w:ascii="Tajawal" w:hAnsi="Tajawal" w:cs="Tajawal" w:eastAsia="Tajawal"/>
        </w:rPr>
        <w:t xml:space="preserve">Workflow transitions persist correctly.</w:t>
      </w:r>
    </w:p>
    <w:p>
      <w:pPr>
        <w:pStyle w:val="ListParagraph"/>
      </w:pPr>
      <w:r>
        <w:rPr>
          <w:rFonts w:ascii="Tajawal" w:hAnsi="Tajawal" w:cs="Tajawal" w:eastAsia="Tajawal"/>
          <w:color w:val="7A3512"/>
          <w:sz w:val="22"/>
          <w:szCs w:val="22"/>
        </w:rPr>
        <w:t>• </w:t>
      </w:r>
      <w:r>
        <w:rPr>
          <w:rFonts w:ascii="Tajawal" w:hAnsi="Tajawal" w:cs="Tajawal" w:eastAsia="Tajawal"/>
        </w:rPr>
        <w:t xml:space="preserve">Notifications are generated and visible.</w:t>
      </w:r>
    </w:p>
    <w:p>
      <w:pPr>
        <w:pStyle w:val="ListParagraph"/>
      </w:pPr>
      <w:r>
        <w:rPr>
          <w:rFonts w:ascii="Tajawal" w:hAnsi="Tajawal" w:cs="Tajawal" w:eastAsia="Tajawal"/>
          <w:color w:val="7A3512"/>
          <w:sz w:val="22"/>
          <w:szCs w:val="22"/>
        </w:rPr>
        <w:t>• </w:t>
      </w:r>
      <w:r>
        <w:rPr>
          <w:rFonts w:ascii="Tajawal" w:hAnsi="Tajawal" w:cs="Tajawal" w:eastAsia="Tajawal"/>
        </w:rPr>
        <w:t xml:space="preserve">Reports export to PDF and Excel.</w:t>
      </w:r>
    </w:p>
    <w:p>
      <w:pPr>
        <w:pStyle w:val="ListParagraph"/>
      </w:pPr>
      <w:r>
        <w:rPr>
          <w:rFonts w:ascii="Tajawal" w:hAnsi="Tajawal" w:cs="Tajawal" w:eastAsia="Tajawal"/>
          <w:color w:val="7A3512"/>
          <w:sz w:val="22"/>
          <w:szCs w:val="22"/>
        </w:rPr>
        <w:t>• </w:t>
      </w:r>
      <w:r>
        <w:rPr>
          <w:rFonts w:ascii="Tajawal" w:hAnsi="Tajawal" w:cs="Tajawal" w:eastAsia="Tajawal"/>
        </w:rPr>
        <w:t xml:space="preserve">No UAT/demo/guideline content is visible.</w:t>
      </w:r>
    </w:p>
    <w:p>
      <w:pPr>
        <w:pStyle w:val="ListParagraph"/>
      </w:pPr>
      <w:r>
        <w:rPr>
          <w:rFonts w:ascii="Tajawal" w:hAnsi="Tajawal" w:cs="Tajawal" w:eastAsia="Tajawal"/>
          <w:color w:val="7A3512"/>
          <w:sz w:val="22"/>
          <w:szCs w:val="22"/>
        </w:rPr>
        <w:t>• </w:t>
      </w:r>
      <w:r>
        <w:rPr>
          <w:rFonts w:ascii="Tajawal" w:hAnsi="Tajawal" w:cs="Tajawal" w:eastAsia="Tajawal"/>
        </w:rPr>
        <w:t xml:space="preserve">Arabic and English UI behavior is acceptable.</w:t>
      </w:r>
    </w:p>
    <w:p>
      <w:pPr>
        <w:pStyle w:val="ListParagraph"/>
      </w:pPr>
      <w:r>
        <w:rPr>
          <w:rFonts w:ascii="Tajawal" w:hAnsi="Tajawal" w:cs="Tajawal" w:eastAsia="Tajawal"/>
          <w:color w:val="7A3512"/>
          <w:sz w:val="22"/>
          <w:szCs w:val="22"/>
        </w:rPr>
        <w:t>• </w:t>
      </w:r>
      <w:r>
        <w:rPr>
          <w:rFonts w:ascii="Tajawal" w:hAnsi="Tajawal" w:cs="Tajawal" w:eastAsia="Tajawal"/>
        </w:rPr>
        <w:t xml:space="preserve">Database migration has been tested.</w:t>
      </w:r>
    </w:p>
    <w:p>
      <w:pPr>
        <w:pStyle w:val="ListParagraph"/>
      </w:pPr>
      <w:r>
        <w:rPr>
          <w:rFonts w:ascii="Tajawal" w:hAnsi="Tajawal" w:cs="Tajawal" w:eastAsia="Tajawal"/>
          <w:color w:val="7A3512"/>
          <w:sz w:val="22"/>
          <w:szCs w:val="22"/>
        </w:rPr>
        <w:t>• </w:t>
      </w:r>
      <w:r>
        <w:rPr>
          <w:rFonts w:ascii="Tajawal" w:hAnsi="Tajawal" w:cs="Tajawal" w:eastAsia="Tajawal"/>
        </w:rPr>
        <w:t xml:space="preserve">Rollback or recovery plan has been tested.</w:t>
      </w:r>
    </w:p>
    <w:p>
      <w:pPr>
        <w:pStyle w:val="ListParagraph"/>
      </w:pPr>
      <w:r>
        <w:rPr>
          <w:rFonts w:ascii="Tajawal" w:hAnsi="Tajawal" w:cs="Tajawal" w:eastAsia="Tajawal"/>
          <w:color w:val="7A3512"/>
          <w:sz w:val="22"/>
          <w:szCs w:val="22"/>
        </w:rPr>
        <w:t>• </w:t>
      </w:r>
      <w:r>
        <w:rPr>
          <w:rFonts w:ascii="Tajawal" w:hAnsi="Tajawal" w:cs="Tajawal" w:eastAsia="Tajawal"/>
        </w:rPr>
        <w:t xml:space="preserve">Production deployment package is frozen.</w:t>
      </w:r>
    </w:p>
    <w:p>
      <w:pPr>
        <w:pStyle w:val="ListParagraph"/>
      </w:pPr>
      <w:r>
        <w:rPr>
          <w:rFonts w:ascii="Tajawal" w:hAnsi="Tajawal" w:cs="Tajawal" w:eastAsia="Tajawal"/>
          <w:color w:val="7A3512"/>
          <w:sz w:val="22"/>
          <w:szCs w:val="22"/>
        </w:rPr>
        <w:t>• </w:t>
      </w:r>
      <w:r>
        <w:rPr>
          <w:rFonts w:ascii="Tajawal" w:hAnsi="Tajawal" w:cs="Tajawal" w:eastAsia="Tajawal"/>
        </w:rPr>
        <w:t xml:space="preserve">Business owner and release owner sign-off is recorded.</w:t>
      </w:r>
    </w:p>
    <w:p>
      <w:pPr>
        <w:pStyle w:val="Heading2"/>
      </w:pPr>
      <w:r>
        <w:rPr>
          <w:rFonts w:ascii="Tajawal" w:hAnsi="Tajawal" w:cs="Tajawal" w:eastAsia="Tajawal"/>
        </w:rPr>
        <w:t xml:space="preserve">10. Production Deployment Day Plan</w:t>
      </w:r>
    </w:p>
    <w:tbl>
      <w:tblPr>
        <w:tblStyle w:val="CashLineTable"/>
        <w:tblW w:w="0" w:type="auto"/>
        <w:tblLook w:val="04A0"/>
      </w:tblPr>
      <w:tblGrid>
        <w:gridCol w:w="3008"/>
        <w:gridCol w:w="3008"/>
        <w:gridCol w:w="3008"/>
      </w:tblGrid>
      <w:tr>
        <w:tc>
          <w:tcPr>
            <w:tcW w:w="3008"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Sequence</w:t>
            </w:r>
          </w:p>
        </w:tc>
        <w:tc>
          <w:tcPr>
            <w:tcW w:w="3008"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Activity</w:t>
            </w:r>
          </w:p>
        </w:tc>
        <w:tc>
          <w:tcPr>
            <w:tcW w:w="3008"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Owner</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Announce release freeze</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Release owner</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Stop non-essential deployments</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Engineering lead</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3</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Take database backup</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DBA/technical lead</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4</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Validate backup restore point</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DBA/technical lead</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5</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Deploy backend package</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Engineering/release team</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6</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Run database migrations</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DBA/release team</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7</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Deploy frontend package</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Engineering/release team</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8</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Deploy desktop package or release installer</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Desktop/release team</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9</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Apply production configuration</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Technical lead</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10</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Load approved production seed/reference data</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DBA/release team</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11</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Run production smoke tests</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QA/release team</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12</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Validate System Owner and Administrator login</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QA/product owner</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13</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Validate one Supplier, one Customer, and one Accounting Office path where users are ready</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QA/business owner</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14</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Validate reports and exports</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QA/product owner</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15</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Confirm monitoring and logs</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Technical operations</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16</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Release to controlled MVP users</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Release owner/business owner</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17</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Start hypercare monitoring</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Support and release team</w:t>
            </w:r>
          </w:p>
        </w:tc>
      </w:tr>
    </w:tbl>
    <w:p>
      <w:pPr>
        <w:pStyle w:val="BodyText"/>
        <w:spacing w:after="120"/>
      </w:pPr>
    </w:p>
    <w:p>
      <w:pPr>
        <w:pStyle w:val="Heading2"/>
      </w:pPr>
      <w:r>
        <w:rPr>
          <w:rFonts w:ascii="Tajawal" w:hAnsi="Tajawal" w:cs="Tajawal" w:eastAsia="Tajawal"/>
        </w:rPr>
        <w:t xml:space="preserve">11. Monitoring And Hypercare</w:t>
      </w:r>
    </w:p>
    <w:p>
      <w:pPr>
        <w:pStyle w:val="BodyText"/>
      </w:pPr>
      <w:r>
        <w:rPr>
          <w:rFonts w:ascii="Tajawal" w:hAnsi="Tajawal" w:cs="Tajawal" w:eastAsia="Tajawal"/>
        </w:rPr>
        <w:t xml:space="preserve">The first production MVP phase must include active monitoring and daily governance review.</w:t>
      </w:r>
    </w:p>
    <w:p>
      <w:pPr>
        <w:pStyle w:val="Callout"/>
      </w:pPr>
      <w:r>
        <w:rPr>
          <w:rFonts w:ascii="Tajawal" w:hAnsi="Tajawal" w:cs="Tajawal" w:eastAsia="Tajawal"/>
        </w:rPr>
        <w:t xml:space="preserve">Monitor at minimum:</w:t>
      </w:r>
    </w:p>
    <w:p>
      <w:pPr>
        <w:pStyle w:val="ListParagraph"/>
      </w:pPr>
      <w:r>
        <w:rPr>
          <w:rFonts w:ascii="Tajawal" w:hAnsi="Tajawal" w:cs="Tajawal" w:eastAsia="Tajawal"/>
          <w:color w:val="7A3512"/>
          <w:sz w:val="22"/>
          <w:szCs w:val="22"/>
        </w:rPr>
        <w:t>• </w:t>
      </w:r>
      <w:r>
        <w:rPr>
          <w:rFonts w:ascii="Tajawal" w:hAnsi="Tajawal" w:cs="Tajawal" w:eastAsia="Tajawal"/>
        </w:rPr>
        <w:t xml:space="preserve">Login failures.</w:t>
      </w:r>
    </w:p>
    <w:p>
      <w:pPr>
        <w:pStyle w:val="ListParagraph"/>
      </w:pPr>
      <w:r>
        <w:rPr>
          <w:rFonts w:ascii="Tajawal" w:hAnsi="Tajawal" w:cs="Tajawal" w:eastAsia="Tajawal"/>
          <w:color w:val="7A3512"/>
          <w:sz w:val="22"/>
          <w:szCs w:val="22"/>
        </w:rPr>
        <w:t>• </w:t>
      </w:r>
      <w:r>
        <w:rPr>
          <w:rFonts w:ascii="Tajawal" w:hAnsi="Tajawal" w:cs="Tajawal" w:eastAsia="Tajawal"/>
        </w:rPr>
        <w:t xml:space="preserve">Unauthorized access attempts.</w:t>
      </w:r>
    </w:p>
    <w:p>
      <w:pPr>
        <w:pStyle w:val="ListParagraph"/>
      </w:pPr>
      <w:r>
        <w:rPr>
          <w:rFonts w:ascii="Tajawal" w:hAnsi="Tajawal" w:cs="Tajawal" w:eastAsia="Tajawal"/>
          <w:color w:val="7A3512"/>
          <w:sz w:val="22"/>
          <w:szCs w:val="22"/>
        </w:rPr>
        <w:t>• </w:t>
      </w:r>
      <w:r>
        <w:rPr>
          <w:rFonts w:ascii="Tajawal" w:hAnsi="Tajawal" w:cs="Tajawal" w:eastAsia="Tajawal"/>
        </w:rPr>
        <w:t xml:space="preserve">Role/menu mismatch.</w:t>
      </w:r>
    </w:p>
    <w:p>
      <w:pPr>
        <w:pStyle w:val="ListParagraph"/>
      </w:pPr>
      <w:r>
        <w:rPr>
          <w:rFonts w:ascii="Tajawal" w:hAnsi="Tajawal" w:cs="Tajawal" w:eastAsia="Tajawal"/>
          <w:color w:val="7A3512"/>
          <w:sz w:val="22"/>
          <w:szCs w:val="22"/>
        </w:rPr>
        <w:t>• </w:t>
      </w:r>
      <w:r>
        <w:rPr>
          <w:rFonts w:ascii="Tajawal" w:hAnsi="Tajawal" w:cs="Tajawal" w:eastAsia="Tajawal"/>
        </w:rPr>
        <w:t xml:space="preserve">Failed API calls.</w:t>
      </w:r>
    </w:p>
    <w:p>
      <w:pPr>
        <w:pStyle w:val="ListParagraph"/>
      </w:pPr>
      <w:r>
        <w:rPr>
          <w:rFonts w:ascii="Tajawal" w:hAnsi="Tajawal" w:cs="Tajawal" w:eastAsia="Tajawal"/>
          <w:color w:val="7A3512"/>
          <w:sz w:val="22"/>
          <w:szCs w:val="22"/>
        </w:rPr>
        <w:t>• </w:t>
      </w:r>
      <w:r>
        <w:rPr>
          <w:rFonts w:ascii="Tajawal" w:hAnsi="Tajawal" w:cs="Tajawal" w:eastAsia="Tajawal"/>
        </w:rPr>
        <w:t xml:space="preserve">Failed workflow transitions.</w:t>
      </w:r>
    </w:p>
    <w:p>
      <w:pPr>
        <w:pStyle w:val="ListParagraph"/>
      </w:pPr>
      <w:r>
        <w:rPr>
          <w:rFonts w:ascii="Tajawal" w:hAnsi="Tajawal" w:cs="Tajawal" w:eastAsia="Tajawal"/>
          <w:color w:val="7A3512"/>
          <w:sz w:val="22"/>
          <w:szCs w:val="22"/>
        </w:rPr>
        <w:t>• </w:t>
      </w:r>
      <w:r>
        <w:rPr>
          <w:rFonts w:ascii="Tajawal" w:hAnsi="Tajawal" w:cs="Tajawal" w:eastAsia="Tajawal"/>
        </w:rPr>
        <w:t xml:space="preserve">Notification failures.</w:t>
      </w:r>
    </w:p>
    <w:p>
      <w:pPr>
        <w:pStyle w:val="ListParagraph"/>
      </w:pPr>
      <w:r>
        <w:rPr>
          <w:rFonts w:ascii="Tajawal" w:hAnsi="Tajawal" w:cs="Tajawal" w:eastAsia="Tajawal"/>
          <w:color w:val="7A3512"/>
          <w:sz w:val="22"/>
          <w:szCs w:val="22"/>
        </w:rPr>
        <w:t>• </w:t>
      </w:r>
      <w:r>
        <w:rPr>
          <w:rFonts w:ascii="Tajawal" w:hAnsi="Tajawal" w:cs="Tajawal" w:eastAsia="Tajawal"/>
        </w:rPr>
        <w:t xml:space="preserve">Report/export failures.</w:t>
      </w:r>
    </w:p>
    <w:p>
      <w:pPr>
        <w:pStyle w:val="ListParagraph"/>
      </w:pPr>
      <w:r>
        <w:rPr>
          <w:rFonts w:ascii="Tajawal" w:hAnsi="Tajawal" w:cs="Tajawal" w:eastAsia="Tajawal"/>
          <w:color w:val="7A3512"/>
          <w:sz w:val="22"/>
          <w:szCs w:val="22"/>
        </w:rPr>
        <w:t>• </w:t>
      </w:r>
      <w:r>
        <w:rPr>
          <w:rFonts w:ascii="Tajawal" w:hAnsi="Tajawal" w:cs="Tajawal" w:eastAsia="Tajawal"/>
        </w:rPr>
        <w:t xml:space="preserve">Database errors.</w:t>
      </w:r>
    </w:p>
    <w:p>
      <w:pPr>
        <w:pStyle w:val="ListParagraph"/>
      </w:pPr>
      <w:r>
        <w:rPr>
          <w:rFonts w:ascii="Tajawal" w:hAnsi="Tajawal" w:cs="Tajawal" w:eastAsia="Tajawal"/>
          <w:color w:val="7A3512"/>
          <w:sz w:val="22"/>
          <w:szCs w:val="22"/>
        </w:rPr>
        <w:t>• </w:t>
      </w:r>
      <w:r>
        <w:rPr>
          <w:rFonts w:ascii="Tajawal" w:hAnsi="Tajawal" w:cs="Tajawal" w:eastAsia="Tajawal"/>
        </w:rPr>
        <w:t xml:space="preserve">Slow requests.</w:t>
      </w:r>
    </w:p>
    <w:p>
      <w:pPr>
        <w:pStyle w:val="ListParagraph"/>
      </w:pPr>
      <w:r>
        <w:rPr>
          <w:rFonts w:ascii="Tajawal" w:hAnsi="Tajawal" w:cs="Tajawal" w:eastAsia="Tajawal"/>
          <w:color w:val="7A3512"/>
          <w:sz w:val="22"/>
          <w:szCs w:val="22"/>
        </w:rPr>
        <w:t>• </w:t>
      </w:r>
      <w:r>
        <w:rPr>
          <w:rFonts w:ascii="Tajawal" w:hAnsi="Tajawal" w:cs="Tajawal" w:eastAsia="Tajawal"/>
        </w:rPr>
        <w:t xml:space="preserve">Desktop launch or rendering issues.</w:t>
      </w:r>
    </w:p>
    <w:p>
      <w:pPr>
        <w:pStyle w:val="ListParagraph"/>
      </w:pPr>
      <w:r>
        <w:rPr>
          <w:rFonts w:ascii="Tajawal" w:hAnsi="Tajawal" w:cs="Tajawal" w:eastAsia="Tajawal"/>
          <w:color w:val="7A3512"/>
          <w:sz w:val="22"/>
          <w:szCs w:val="22"/>
        </w:rPr>
        <w:t>• </w:t>
      </w:r>
      <w:r>
        <w:rPr>
          <w:rFonts w:ascii="Tajawal" w:hAnsi="Tajawal" w:cs="Tajawal" w:eastAsia="Tajawal"/>
        </w:rPr>
        <w:t xml:space="preserve">User action audit trail.</w:t>
      </w:r>
    </w:p>
    <w:p>
      <w:pPr>
        <w:pStyle w:val="ListParagraph"/>
      </w:pPr>
      <w:r>
        <w:rPr>
          <w:rFonts w:ascii="Tajawal" w:hAnsi="Tajawal" w:cs="Tajawal" w:eastAsia="Tajawal"/>
          <w:color w:val="7A3512"/>
          <w:sz w:val="22"/>
          <w:szCs w:val="22"/>
        </w:rPr>
        <w:t>• </w:t>
      </w:r>
      <w:r>
        <w:rPr>
          <w:rFonts w:ascii="Tajawal" w:hAnsi="Tajawal" w:cs="Tajawal" w:eastAsia="Tajawal"/>
        </w:rPr>
        <w:t xml:space="preserve">Administrator actions.</w:t>
      </w:r>
    </w:p>
    <w:p>
      <w:pPr>
        <w:pStyle w:val="ListParagraph"/>
      </w:pPr>
      <w:r>
        <w:rPr>
          <w:rFonts w:ascii="Tajawal" w:hAnsi="Tajawal" w:cs="Tajawal" w:eastAsia="Tajawal"/>
          <w:color w:val="7A3512"/>
          <w:sz w:val="22"/>
          <w:szCs w:val="22"/>
        </w:rPr>
        <w:t>• </w:t>
      </w:r>
      <w:r>
        <w:rPr>
          <w:rFonts w:ascii="Tajawal" w:hAnsi="Tajawal" w:cs="Tajawal" w:eastAsia="Tajawal"/>
        </w:rPr>
        <w:t xml:space="preserve">System Owner actions.</w:t>
      </w:r>
    </w:p>
    <w:p>
      <w:pPr>
        <w:pStyle w:val="BodyText"/>
      </w:pPr>
      <w:r>
        <w:rPr>
          <w:rFonts w:ascii="Tajawal" w:hAnsi="Tajawal" w:cs="Tajawal" w:eastAsia="Tajawal"/>
        </w:rPr>
        <w:t xml:space="preserve">Hypercare should run daily for the first one to two weeks, or longer if business volume, defect count, or operational risk requires it.</w:t>
      </w:r>
    </w:p>
    <w:p>
      <w:pPr>
        <w:pStyle w:val="Heading2"/>
      </w:pPr>
      <w:r>
        <w:rPr>
          <w:rFonts w:ascii="Tajawal" w:hAnsi="Tajawal" w:cs="Tajawal" w:eastAsia="Tajawal"/>
        </w:rPr>
        <w:t xml:space="preserve">12. Rollback And Recovery Strategy</w:t>
      </w:r>
    </w:p>
    <w:p>
      <w:pPr>
        <w:pStyle w:val="BodyText"/>
      </w:pPr>
      <w:r>
        <w:rPr>
          <w:rFonts w:ascii="Tajawal" w:hAnsi="Tajawal" w:cs="Tajawal" w:eastAsia="Tajawal"/>
        </w:rPr>
        <w:t xml:space="preserve">Rollback must be planned before production deployment begins.</w:t>
      </w:r>
    </w:p>
    <w:p>
      <w:pPr>
        <w:pStyle w:val="Callout"/>
      </w:pPr>
      <w:r>
        <w:rPr>
          <w:rFonts w:ascii="Tajawal" w:hAnsi="Tajawal" w:cs="Tajawal" w:eastAsia="Tajawal"/>
        </w:rPr>
        <w:t xml:space="preserve">Required controls:</w:t>
      </w:r>
    </w:p>
    <w:p>
      <w:pPr>
        <w:pStyle w:val="ListParagraph"/>
      </w:pPr>
      <w:r>
        <w:rPr>
          <w:rFonts w:ascii="Tajawal" w:hAnsi="Tajawal" w:cs="Tajawal" w:eastAsia="Tajawal"/>
          <w:color w:val="7A3512"/>
          <w:sz w:val="22"/>
          <w:szCs w:val="22"/>
        </w:rPr>
        <w:t>• </w:t>
      </w:r>
      <w:r>
        <w:rPr>
          <w:rFonts w:ascii="Tajawal" w:hAnsi="Tajawal" w:cs="Tajawal" w:eastAsia="Tajawal"/>
        </w:rPr>
        <w:t xml:space="preserve">Pre-deployment database backup.</w:t>
      </w:r>
    </w:p>
    <w:p>
      <w:pPr>
        <w:pStyle w:val="ListParagraph"/>
      </w:pPr>
      <w:r>
        <w:rPr>
          <w:rFonts w:ascii="Tajawal" w:hAnsi="Tajawal" w:cs="Tajawal" w:eastAsia="Tajawal"/>
          <w:color w:val="7A3512"/>
          <w:sz w:val="22"/>
          <w:szCs w:val="22"/>
        </w:rPr>
        <w:t>• </w:t>
      </w:r>
      <w:r>
        <w:rPr>
          <w:rFonts w:ascii="Tajawal" w:hAnsi="Tajawal" w:cs="Tajawal" w:eastAsia="Tajawal"/>
        </w:rPr>
        <w:t xml:space="preserve">Release package archive.</w:t>
      </w:r>
    </w:p>
    <w:p>
      <w:pPr>
        <w:pStyle w:val="ListParagraph"/>
      </w:pPr>
      <w:r>
        <w:rPr>
          <w:rFonts w:ascii="Tajawal" w:hAnsi="Tajawal" w:cs="Tajawal" w:eastAsia="Tajawal"/>
          <w:color w:val="7A3512"/>
          <w:sz w:val="22"/>
          <w:szCs w:val="22"/>
        </w:rPr>
        <w:t>• </w:t>
      </w:r>
      <w:r>
        <w:rPr>
          <w:rFonts w:ascii="Tajawal" w:hAnsi="Tajawal" w:cs="Tajawal" w:eastAsia="Tajawal"/>
        </w:rPr>
        <w:t xml:space="preserve">Previous frontend package archive.</w:t>
      </w:r>
    </w:p>
    <w:p>
      <w:pPr>
        <w:pStyle w:val="ListParagraph"/>
      </w:pPr>
      <w:r>
        <w:rPr>
          <w:rFonts w:ascii="Tajawal" w:hAnsi="Tajawal" w:cs="Tajawal" w:eastAsia="Tajawal"/>
          <w:color w:val="7A3512"/>
          <w:sz w:val="22"/>
          <w:szCs w:val="22"/>
        </w:rPr>
        <w:t>• </w:t>
      </w:r>
      <w:r>
        <w:rPr>
          <w:rFonts w:ascii="Tajawal" w:hAnsi="Tajawal" w:cs="Tajawal" w:eastAsia="Tajawal"/>
        </w:rPr>
        <w:t xml:space="preserve">Previous backend package archive.</w:t>
      </w:r>
    </w:p>
    <w:p>
      <w:pPr>
        <w:pStyle w:val="ListParagraph"/>
      </w:pPr>
      <w:r>
        <w:rPr>
          <w:rFonts w:ascii="Tajawal" w:hAnsi="Tajawal" w:cs="Tajawal" w:eastAsia="Tajawal"/>
          <w:color w:val="7A3512"/>
          <w:sz w:val="22"/>
          <w:szCs w:val="22"/>
        </w:rPr>
        <w:t>• </w:t>
      </w:r>
      <w:r>
        <w:rPr>
          <w:rFonts w:ascii="Tajawal" w:hAnsi="Tajawal" w:cs="Tajawal" w:eastAsia="Tajawal"/>
        </w:rPr>
        <w:t xml:space="preserve">Desktop package rollback option.</w:t>
      </w:r>
    </w:p>
    <w:p>
      <w:pPr>
        <w:pStyle w:val="ListParagraph"/>
      </w:pPr>
      <w:r>
        <w:rPr>
          <w:rFonts w:ascii="Tajawal" w:hAnsi="Tajawal" w:cs="Tajawal" w:eastAsia="Tajawal"/>
          <w:color w:val="7A3512"/>
          <w:sz w:val="22"/>
          <w:szCs w:val="22"/>
        </w:rPr>
        <w:t>• </w:t>
      </w:r>
      <w:r>
        <w:rPr>
          <w:rFonts w:ascii="Tajawal" w:hAnsi="Tajawal" w:cs="Tajawal" w:eastAsia="Tajawal"/>
        </w:rPr>
        <w:t xml:space="preserve">Migration execution record.</w:t>
      </w:r>
    </w:p>
    <w:p>
      <w:pPr>
        <w:pStyle w:val="ListParagraph"/>
      </w:pPr>
      <w:r>
        <w:rPr>
          <w:rFonts w:ascii="Tajawal" w:hAnsi="Tajawal" w:cs="Tajawal" w:eastAsia="Tajawal"/>
          <w:color w:val="7A3512"/>
          <w:sz w:val="22"/>
          <w:szCs w:val="22"/>
        </w:rPr>
        <w:t>• </w:t>
      </w:r>
      <w:r>
        <w:rPr>
          <w:rFonts w:ascii="Tajawal" w:hAnsi="Tajawal" w:cs="Tajawal" w:eastAsia="Tajawal"/>
        </w:rPr>
        <w:t xml:space="preserve">Known rollback limitations documented before approval.</w:t>
      </w:r>
    </w:p>
    <w:p>
      <w:pPr>
        <w:pStyle w:val="ListParagraph"/>
      </w:pPr>
      <w:r>
        <w:rPr>
          <w:rFonts w:ascii="Tajawal" w:hAnsi="Tajawal" w:cs="Tajawal" w:eastAsia="Tajawal"/>
          <w:color w:val="7A3512"/>
          <w:sz w:val="22"/>
          <w:szCs w:val="22"/>
        </w:rPr>
        <w:t>• </w:t>
      </w:r>
      <w:r>
        <w:rPr>
          <w:rFonts w:ascii="Tajawal" w:hAnsi="Tajawal" w:cs="Tajawal" w:eastAsia="Tajawal"/>
        </w:rPr>
        <w:t xml:space="preserve">Emergency decision owner identified.</w:t>
      </w:r>
    </w:p>
    <w:p>
      <w:pPr>
        <w:pStyle w:val="ListParagraph"/>
      </w:pPr>
      <w:r>
        <w:rPr>
          <w:rFonts w:ascii="Tajawal" w:hAnsi="Tajawal" w:cs="Tajawal" w:eastAsia="Tajawal"/>
          <w:color w:val="7A3512"/>
          <w:sz w:val="22"/>
          <w:szCs w:val="22"/>
        </w:rPr>
        <w:t>• </w:t>
      </w:r>
      <w:r>
        <w:rPr>
          <w:rFonts w:ascii="Tajawal" w:hAnsi="Tajawal" w:cs="Tajawal" w:eastAsia="Tajawal"/>
        </w:rPr>
        <w:t xml:space="preserve">Communication path for business users.</w:t>
      </w:r>
    </w:p>
    <w:p>
      <w:pPr>
        <w:pStyle w:val="BodyText"/>
      </w:pPr>
      <w:r>
        <w:rPr>
          <w:rFonts w:ascii="Tajawal" w:hAnsi="Tajawal" w:cs="Tajawal" w:eastAsia="Tajawal"/>
        </w:rPr>
        <w:t xml:space="preserve">Rollback should be used when a production issue blocks login, corrupts data, breaks role access, prevents critical workflows, or creates unacceptable business or compliance risk.</w:t>
      </w:r>
    </w:p>
    <w:p>
      <w:pPr>
        <w:pStyle w:val="Heading2"/>
      </w:pPr>
      <w:r>
        <w:rPr>
          <w:rFonts w:ascii="Tajawal" w:hAnsi="Tajawal" w:cs="Tajawal" w:eastAsia="Tajawal"/>
        </w:rPr>
        <w:t xml:space="preserve">13. MVP Scope Control</w:t>
      </w:r>
    </w:p>
    <w:p>
      <w:pPr>
        <w:pStyle w:val="BodyText"/>
      </w:pPr>
      <w:r>
        <w:rPr>
          <w:rFonts w:ascii="Tajawal" w:hAnsi="Tajawal" w:cs="Tajawal" w:eastAsia="Tajawal"/>
        </w:rPr>
        <w:t xml:space="preserve">The MVP must remain controlled and not expand silently during deployment.</w:t>
      </w:r>
    </w:p>
    <w:p>
      <w:pPr>
        <w:pStyle w:val="Callout"/>
      </w:pPr>
      <w:r>
        <w:rPr>
          <w:rFonts w:ascii="Tajawal" w:hAnsi="Tajawal" w:cs="Tajawal" w:eastAsia="Tajawal"/>
        </w:rPr>
        <w:t xml:space="preserve">Production MVP includes:</w:t>
      </w:r>
    </w:p>
    <w:p>
      <w:pPr>
        <w:pStyle w:val="ListParagraph"/>
      </w:pPr>
      <w:r>
        <w:rPr>
          <w:rFonts w:ascii="Tajawal" w:hAnsi="Tajawal" w:cs="Tajawal" w:eastAsia="Tajawal"/>
          <w:color w:val="7A3512"/>
          <w:sz w:val="22"/>
          <w:szCs w:val="22"/>
        </w:rPr>
        <w:t>• </w:t>
      </w:r>
      <w:r>
        <w:rPr>
          <w:rFonts w:ascii="Tajawal" w:hAnsi="Tajawal" w:cs="Tajawal" w:eastAsia="Tajawal"/>
        </w:rPr>
        <w:t xml:space="preserve">Clean login and role-based access.</w:t>
      </w:r>
    </w:p>
    <w:p>
      <w:pPr>
        <w:pStyle w:val="ListParagraph"/>
      </w:pPr>
      <w:r>
        <w:rPr>
          <w:rFonts w:ascii="Tajawal" w:hAnsi="Tajawal" w:cs="Tajawal" w:eastAsia="Tajawal"/>
          <w:color w:val="7A3512"/>
          <w:sz w:val="22"/>
          <w:szCs w:val="22"/>
        </w:rPr>
        <w:t>• </w:t>
      </w:r>
      <w:r>
        <w:rPr>
          <w:rFonts w:ascii="Tajawal" w:hAnsi="Tajawal" w:cs="Tajawal" w:eastAsia="Tajawal"/>
        </w:rPr>
        <w:t xml:space="preserve">Supplier and Customer onboarding foundations.</w:t>
      </w:r>
    </w:p>
    <w:p>
      <w:pPr>
        <w:pStyle w:val="ListParagraph"/>
      </w:pPr>
      <w:r>
        <w:rPr>
          <w:rFonts w:ascii="Tajawal" w:hAnsi="Tajawal" w:cs="Tajawal" w:eastAsia="Tajawal"/>
          <w:color w:val="7A3512"/>
          <w:sz w:val="22"/>
          <w:szCs w:val="22"/>
        </w:rPr>
        <w:t>• </w:t>
      </w:r>
      <w:r>
        <w:rPr>
          <w:rFonts w:ascii="Tajawal" w:hAnsi="Tajawal" w:cs="Tajawal" w:eastAsia="Tajawal"/>
        </w:rPr>
        <w:t xml:space="preserve">Operations review and activation workflows.</w:t>
      </w:r>
    </w:p>
    <w:p>
      <w:pPr>
        <w:pStyle w:val="ListParagraph"/>
      </w:pPr>
      <w:r>
        <w:rPr>
          <w:rFonts w:ascii="Tajawal" w:hAnsi="Tajawal" w:cs="Tajawal" w:eastAsia="Tajawal"/>
          <w:color w:val="7A3512"/>
          <w:sz w:val="22"/>
          <w:szCs w:val="22"/>
        </w:rPr>
        <w:t>• </w:t>
      </w:r>
      <w:r>
        <w:rPr>
          <w:rFonts w:ascii="Tajawal" w:hAnsi="Tajawal" w:cs="Tajawal" w:eastAsia="Tajawal"/>
        </w:rPr>
        <w:t xml:space="preserve">Administrator user/function governance.</w:t>
      </w:r>
    </w:p>
    <w:p>
      <w:pPr>
        <w:pStyle w:val="ListParagraph"/>
      </w:pPr>
      <w:r>
        <w:rPr>
          <w:rFonts w:ascii="Tajawal" w:hAnsi="Tajawal" w:cs="Tajawal" w:eastAsia="Tajawal"/>
          <w:color w:val="7A3512"/>
          <w:sz w:val="22"/>
          <w:szCs w:val="22"/>
        </w:rPr>
        <w:t>• </w:t>
      </w:r>
      <w:r>
        <w:rPr>
          <w:rFonts w:ascii="Tajawal" w:hAnsi="Tajawal" w:cs="Tajawal" w:eastAsia="Tajawal"/>
        </w:rPr>
        <w:t xml:space="preserve">System Owner Administrator governance.</w:t>
      </w:r>
    </w:p>
    <w:p>
      <w:pPr>
        <w:pStyle w:val="ListParagraph"/>
      </w:pPr>
      <w:r>
        <w:rPr>
          <w:rFonts w:ascii="Tajawal" w:hAnsi="Tajawal" w:cs="Tajawal" w:eastAsia="Tajawal"/>
          <w:color w:val="7A3512"/>
          <w:sz w:val="22"/>
          <w:szCs w:val="22"/>
        </w:rPr>
        <w:t>• </w:t>
      </w:r>
      <w:r>
        <w:rPr>
          <w:rFonts w:ascii="Tajawal" w:hAnsi="Tajawal" w:cs="Tajawal" w:eastAsia="Tajawal"/>
        </w:rPr>
        <w:t xml:space="preserve">Core portal navigation and read models.</w:t>
      </w:r>
    </w:p>
    <w:p>
      <w:pPr>
        <w:pStyle w:val="ListParagraph"/>
      </w:pPr>
      <w:r>
        <w:rPr>
          <w:rFonts w:ascii="Tajawal" w:hAnsi="Tajawal" w:cs="Tajawal" w:eastAsia="Tajawal"/>
          <w:color w:val="7A3512"/>
          <w:sz w:val="22"/>
          <w:szCs w:val="22"/>
        </w:rPr>
        <w:t>• </w:t>
      </w:r>
      <w:r>
        <w:rPr>
          <w:rFonts w:ascii="Tajawal" w:hAnsi="Tajawal" w:cs="Tajawal" w:eastAsia="Tajawal"/>
        </w:rPr>
        <w:t xml:space="preserve">Notifications foundation.</w:t>
      </w:r>
    </w:p>
    <w:p>
      <w:pPr>
        <w:pStyle w:val="ListParagraph"/>
      </w:pPr>
      <w:r>
        <w:rPr>
          <w:rFonts w:ascii="Tajawal" w:hAnsi="Tajawal" w:cs="Tajawal" w:eastAsia="Tajawal"/>
          <w:color w:val="7A3512"/>
          <w:sz w:val="22"/>
          <w:szCs w:val="22"/>
        </w:rPr>
        <w:t>• </w:t>
      </w:r>
      <w:r>
        <w:rPr>
          <w:rFonts w:ascii="Tajawal" w:hAnsi="Tajawal" w:cs="Tajawal" w:eastAsia="Tajawal"/>
        </w:rPr>
        <w:t xml:space="preserve">Reporting and export foundation.</w:t>
      </w:r>
    </w:p>
    <w:p>
      <w:pPr>
        <w:pStyle w:val="ListParagraph"/>
      </w:pPr>
      <w:r>
        <w:rPr>
          <w:rFonts w:ascii="Tajawal" w:hAnsi="Tajawal" w:cs="Tajawal" w:eastAsia="Tajawal"/>
          <w:color w:val="7A3512"/>
          <w:sz w:val="22"/>
          <w:szCs w:val="22"/>
        </w:rPr>
        <w:t>• </w:t>
      </w:r>
      <w:r>
        <w:rPr>
          <w:rFonts w:ascii="Tajawal" w:hAnsi="Tajawal" w:cs="Tajawal" w:eastAsia="Tajawal"/>
        </w:rPr>
        <w:t xml:space="preserve">Web/Desktop consistency.</w:t>
      </w:r>
    </w:p>
    <w:p>
      <w:pPr>
        <w:pStyle w:val="ListParagraph"/>
      </w:pPr>
      <w:r>
        <w:rPr>
          <w:rFonts w:ascii="Tajawal" w:hAnsi="Tajawal" w:cs="Tajawal" w:eastAsia="Tajawal"/>
          <w:color w:val="7A3512"/>
          <w:sz w:val="22"/>
          <w:szCs w:val="22"/>
        </w:rPr>
        <w:t>• </w:t>
      </w:r>
      <w:r>
        <w:rPr>
          <w:rFonts w:ascii="Tajawal" w:hAnsi="Tajawal" w:cs="Tajawal" w:eastAsia="Tajawal"/>
        </w:rPr>
        <w:t xml:space="preserve">Audit and operational traceability.</w:t>
      </w:r>
    </w:p>
    <w:p>
      <w:pPr>
        <w:pStyle w:val="Callout"/>
      </w:pPr>
      <w:r>
        <w:rPr>
          <w:rFonts w:ascii="Tajawal" w:hAnsi="Tajawal" w:cs="Tajawal" w:eastAsia="Tajawal"/>
        </w:rPr>
        <w:t xml:space="preserve">Production MVP excludes unless separately approved:</w:t>
      </w:r>
    </w:p>
    <w:p>
      <w:pPr>
        <w:pStyle w:val="ListParagraph"/>
      </w:pPr>
      <w:r>
        <w:rPr>
          <w:rFonts w:ascii="Tajawal" w:hAnsi="Tajawal" w:cs="Tajawal" w:eastAsia="Tajawal"/>
          <w:color w:val="7A3512"/>
          <w:sz w:val="22"/>
          <w:szCs w:val="22"/>
        </w:rPr>
        <w:t>• </w:t>
      </w:r>
      <w:r>
        <w:rPr>
          <w:rFonts w:ascii="Tajawal" w:hAnsi="Tajawal" w:cs="Tajawal" w:eastAsia="Tajawal"/>
        </w:rPr>
        <w:t xml:space="preserve">Full Islamic Finance live execution.</w:t>
      </w:r>
    </w:p>
    <w:p>
      <w:pPr>
        <w:pStyle w:val="ListParagraph"/>
      </w:pPr>
      <w:r>
        <w:rPr>
          <w:rFonts w:ascii="Tajawal" w:hAnsi="Tajawal" w:cs="Tajawal" w:eastAsia="Tajawal"/>
          <w:color w:val="7A3512"/>
          <w:sz w:val="22"/>
          <w:szCs w:val="22"/>
        </w:rPr>
        <w:t>• </w:t>
      </w:r>
      <w:r>
        <w:rPr>
          <w:rFonts w:ascii="Tajawal" w:hAnsi="Tajawal" w:cs="Tajawal" w:eastAsia="Tajawal"/>
        </w:rPr>
        <w:t xml:space="preserve">Automated credit decisioning.</w:t>
      </w:r>
    </w:p>
    <w:p>
      <w:pPr>
        <w:pStyle w:val="ListParagraph"/>
      </w:pPr>
      <w:r>
        <w:rPr>
          <w:rFonts w:ascii="Tajawal" w:hAnsi="Tajawal" w:cs="Tajawal" w:eastAsia="Tajawal"/>
          <w:color w:val="7A3512"/>
          <w:sz w:val="22"/>
          <w:szCs w:val="22"/>
        </w:rPr>
        <w:t>• </w:t>
      </w:r>
      <w:r>
        <w:rPr>
          <w:rFonts w:ascii="Tajawal" w:hAnsi="Tajawal" w:cs="Tajawal" w:eastAsia="Tajawal"/>
        </w:rPr>
        <w:t xml:space="preserve">Live lender offer generation.</w:t>
      </w:r>
    </w:p>
    <w:p>
      <w:pPr>
        <w:pStyle w:val="ListParagraph"/>
      </w:pPr>
      <w:r>
        <w:rPr>
          <w:rFonts w:ascii="Tajawal" w:hAnsi="Tajawal" w:cs="Tajawal" w:eastAsia="Tajawal"/>
          <w:color w:val="7A3512"/>
          <w:sz w:val="22"/>
          <w:szCs w:val="22"/>
        </w:rPr>
        <w:t>• </w:t>
      </w:r>
      <w:r>
        <w:rPr>
          <w:rFonts w:ascii="Tajawal" w:hAnsi="Tajawal" w:cs="Tajawal" w:eastAsia="Tajawal"/>
        </w:rPr>
        <w:t xml:space="preserve">Full Murabaha transaction execution.</w:t>
      </w:r>
    </w:p>
    <w:p>
      <w:pPr>
        <w:pStyle w:val="ListParagraph"/>
      </w:pPr>
      <w:r>
        <w:rPr>
          <w:rFonts w:ascii="Tajawal" w:hAnsi="Tajawal" w:cs="Tajawal" w:eastAsia="Tajawal"/>
          <w:color w:val="7A3512"/>
          <w:sz w:val="22"/>
          <w:szCs w:val="22"/>
        </w:rPr>
        <w:t>• </w:t>
      </w:r>
      <w:r>
        <w:rPr>
          <w:rFonts w:ascii="Tajawal" w:hAnsi="Tajawal" w:cs="Tajawal" w:eastAsia="Tajawal"/>
        </w:rPr>
        <w:t xml:space="preserve">Oracle production parity.</w:t>
      </w:r>
    </w:p>
    <w:p>
      <w:pPr>
        <w:pStyle w:val="ListParagraph"/>
      </w:pPr>
      <w:r>
        <w:rPr>
          <w:rFonts w:ascii="Tajawal" w:hAnsi="Tajawal" w:cs="Tajawal" w:eastAsia="Tajawal"/>
          <w:color w:val="7A3512"/>
          <w:sz w:val="22"/>
          <w:szCs w:val="22"/>
        </w:rPr>
        <w:t>• </w:t>
      </w:r>
      <w:r>
        <w:rPr>
          <w:rFonts w:ascii="Tajawal" w:hAnsi="Tajawal" w:cs="Tajawal" w:eastAsia="Tajawal"/>
        </w:rPr>
        <w:t xml:space="preserve">Unqualified external production integrations.</w:t>
      </w:r>
    </w:p>
    <w:p>
      <w:pPr>
        <w:pStyle w:val="ListParagraph"/>
      </w:pPr>
      <w:r>
        <w:rPr>
          <w:rFonts w:ascii="Tajawal" w:hAnsi="Tajawal" w:cs="Tajawal" w:eastAsia="Tajawal"/>
          <w:color w:val="7A3512"/>
          <w:sz w:val="22"/>
          <w:szCs w:val="22"/>
        </w:rPr>
        <w:t>• </w:t>
      </w:r>
      <w:r>
        <w:rPr>
          <w:rFonts w:ascii="Tajawal" w:hAnsi="Tajawal" w:cs="Tajawal" w:eastAsia="Tajawal"/>
        </w:rPr>
        <w:t xml:space="preserve">Historical test/demo data.</w:t>
      </w:r>
    </w:p>
    <w:p>
      <w:pPr>
        <w:pStyle w:val="ListParagraph"/>
      </w:pPr>
      <w:r>
        <w:rPr>
          <w:rFonts w:ascii="Tajawal" w:hAnsi="Tajawal" w:cs="Tajawal" w:eastAsia="Tajawal"/>
          <w:color w:val="7A3512"/>
          <w:sz w:val="22"/>
          <w:szCs w:val="22"/>
        </w:rPr>
        <w:t>• </w:t>
      </w:r>
      <w:r>
        <w:rPr>
          <w:rFonts w:ascii="Tajawal" w:hAnsi="Tajawal" w:cs="Tajawal" w:eastAsia="Tajawal"/>
        </w:rPr>
        <w:t xml:space="preserve">Broad user rollout without stabilization sign-off.</w:t>
      </w:r>
    </w:p>
    <w:p>
      <w:pPr>
        <w:pStyle w:val="Heading2"/>
      </w:pPr>
      <w:r>
        <w:rPr>
          <w:rFonts w:ascii="Tajawal" w:hAnsi="Tajawal" w:cs="Tajawal" w:eastAsia="Tajawal"/>
        </w:rPr>
        <w:t xml:space="preserve">14. External Integration Go-Live Uncertainty Paths</w:t>
      </w:r>
    </w:p>
    <w:p>
      <w:pPr>
        <w:pStyle w:val="BodyText"/>
      </w:pPr>
      <w:r>
        <w:rPr>
          <w:rFonts w:ascii="Tajawal" w:hAnsi="Tajawal" w:cs="Tajawal" w:eastAsia="Tajawal"/>
        </w:rPr>
        <w:t xml:space="preserve">ETA/e-invoicing, Fawry, and Paymob are formal MVP go-live uncertainty paths. They are currently treated as held/conditional production capabilities because their activation depends on third-party credentials, merchant/account access, authority access, endpoint configuration, certification evidence, callback readiness, and owner sign-off.</w:t>
      </w:r>
    </w:p>
    <w:p>
      <w:pPr>
        <w:pStyle w:val="BodyText"/>
      </w:pPr>
      <w:r>
        <w:rPr>
          <w:rFonts w:ascii="Tajawal" w:hAnsi="Tajawal" w:cs="Tajawal" w:eastAsia="Tajawal"/>
        </w:rPr>
        <w:t xml:space="preserve">These integrations may still be added to the controlled MVP at any time if the relevant third party activates the required credentials or access during MVP preparation, staging, production cutover, stabilization, or early production. This must be read as an explicit project risk and readiness dependency, not as a permanent exclusion.</w:t>
      </w:r>
    </w:p>
    <w:tbl>
      <w:tblPr>
        <w:tblStyle w:val="CashLineTable"/>
        <w:tblW w:w="0" w:type="auto"/>
        <w:tblLook w:val="04A0"/>
      </w:tblPr>
      <w:tblGrid>
        <w:gridCol w:w="2256"/>
        <w:gridCol w:w="2256"/>
        <w:gridCol w:w="2256"/>
        <w:gridCol w:w="2256"/>
      </w:tblGrid>
      <w:tr>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External Path</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Current MVP Status</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Activation Trigger</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Deployment Control</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ETA / e-invoicing</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Held / conditional</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ETA credentials, authority access, target endpoint, and submission evidence become available</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Change request, staging test, tax/finance sign-off, rollback plan, production approval</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Fawry</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Held / conditional</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Fawry merchant credentials, API access, callback configuration, and payment test evidence become available</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Change request, payment-flow test, reconciliation check, rollback plan, production approval</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Paymob</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Held / conditional</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Paymob merchant credentials, API access, callback configuration, and payment test evidence become available</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Change request, payment-flow test, reconciliation check, rollback plan, production approval</w:t>
            </w:r>
          </w:p>
        </w:tc>
      </w:tr>
    </w:tbl>
    <w:p>
      <w:pPr>
        <w:pStyle w:val="BodyText"/>
        <w:spacing w:after="120"/>
      </w:pPr>
    </w:p>
    <w:p>
      <w:pPr>
        <w:pStyle w:val="BodyText"/>
      </w:pPr>
      <w:r>
        <w:rPr>
          <w:rFonts w:ascii="Tajawal" w:hAnsi="Tajawal" w:cs="Tajawal" w:eastAsia="Tajawal"/>
        </w:rPr>
        <w:t xml:space="preserve">If any of these third-party paths become available unexpectedly, the project team must not activate them informally. They must pass impact assessment, security review, staging/pre-production validation, integration owner approval, business owner approval, and release-governance evidence before being enabled in production.</w:t>
      </w:r>
    </w:p>
    <w:p>
      <w:pPr>
        <w:pStyle w:val="Heading2"/>
      </w:pPr>
      <w:r>
        <w:rPr>
          <w:rFonts w:ascii="Tajawal" w:hAnsi="Tajawal" w:cs="Tajawal" w:eastAsia="Tajawal"/>
        </w:rPr>
        <w:t xml:space="preserve">15. Release Governance</w:t>
      </w:r>
    </w:p>
    <w:p>
      <w:pPr>
        <w:pStyle w:val="Callout"/>
      </w:pPr>
      <w:r>
        <w:rPr>
          <w:rFonts w:ascii="Tajawal" w:hAnsi="Tajawal" w:cs="Tajawal" w:eastAsia="Tajawal"/>
        </w:rPr>
        <w:t xml:space="preserve">Each production release should have a documented release record that includes:</w:t>
      </w:r>
    </w:p>
    <w:p>
      <w:pPr>
        <w:pStyle w:val="ListParagraph"/>
      </w:pPr>
      <w:r>
        <w:rPr>
          <w:rFonts w:ascii="Tajawal" w:hAnsi="Tajawal" w:cs="Tajawal" w:eastAsia="Tajawal"/>
          <w:color w:val="7A3512"/>
          <w:sz w:val="22"/>
          <w:szCs w:val="22"/>
        </w:rPr>
        <w:t>• </w:t>
      </w:r>
      <w:r>
        <w:rPr>
          <w:rFonts w:ascii="Tajawal" w:hAnsi="Tajawal" w:cs="Tajawal" w:eastAsia="Tajawal"/>
        </w:rPr>
        <w:t xml:space="preserve">Release version.</w:t>
      </w:r>
    </w:p>
    <w:p>
      <w:pPr>
        <w:pStyle w:val="ListParagraph"/>
      </w:pPr>
      <w:r>
        <w:rPr>
          <w:rFonts w:ascii="Tajawal" w:hAnsi="Tajawal" w:cs="Tajawal" w:eastAsia="Tajawal"/>
          <w:color w:val="7A3512"/>
          <w:sz w:val="22"/>
          <w:szCs w:val="22"/>
        </w:rPr>
        <w:t>• </w:t>
      </w:r>
      <w:r>
        <w:rPr>
          <w:rFonts w:ascii="Tajawal" w:hAnsi="Tajawal" w:cs="Tajawal" w:eastAsia="Tajawal"/>
        </w:rPr>
        <w:t xml:space="preserve">Scope.</w:t>
      </w:r>
    </w:p>
    <w:p>
      <w:pPr>
        <w:pStyle w:val="ListParagraph"/>
      </w:pPr>
      <w:r>
        <w:rPr>
          <w:rFonts w:ascii="Tajawal" w:hAnsi="Tajawal" w:cs="Tajawal" w:eastAsia="Tajawal"/>
          <w:color w:val="7A3512"/>
          <w:sz w:val="22"/>
          <w:szCs w:val="22"/>
        </w:rPr>
        <w:t>• </w:t>
      </w:r>
      <w:r>
        <w:rPr>
          <w:rFonts w:ascii="Tajawal" w:hAnsi="Tajawal" w:cs="Tajawal" w:eastAsia="Tajawal"/>
        </w:rPr>
        <w:t xml:space="preserve">Environment deployed.</w:t>
      </w:r>
    </w:p>
    <w:p>
      <w:pPr>
        <w:pStyle w:val="ListParagraph"/>
      </w:pPr>
      <w:r>
        <w:rPr>
          <w:rFonts w:ascii="Tajawal" w:hAnsi="Tajawal" w:cs="Tajawal" w:eastAsia="Tajawal"/>
          <w:color w:val="7A3512"/>
          <w:sz w:val="22"/>
          <w:szCs w:val="22"/>
        </w:rPr>
        <w:t>• </w:t>
      </w:r>
      <w:r>
        <w:rPr>
          <w:rFonts w:ascii="Tajawal" w:hAnsi="Tajawal" w:cs="Tajawal" w:eastAsia="Tajawal"/>
        </w:rPr>
        <w:t xml:space="preserve">Migration version.</w:t>
      </w:r>
    </w:p>
    <w:p>
      <w:pPr>
        <w:pStyle w:val="ListParagraph"/>
      </w:pPr>
      <w:r>
        <w:rPr>
          <w:rFonts w:ascii="Tajawal" w:hAnsi="Tajawal" w:cs="Tajawal" w:eastAsia="Tajawal"/>
          <w:color w:val="7A3512"/>
          <w:sz w:val="22"/>
          <w:szCs w:val="22"/>
        </w:rPr>
        <w:t>• </w:t>
      </w:r>
      <w:r>
        <w:rPr>
          <w:rFonts w:ascii="Tajawal" w:hAnsi="Tajawal" w:cs="Tajawal" w:eastAsia="Tajawal"/>
        </w:rPr>
        <w:t xml:space="preserve">Test evidence.</w:t>
      </w:r>
    </w:p>
    <w:p>
      <w:pPr>
        <w:pStyle w:val="ListParagraph"/>
      </w:pPr>
      <w:r>
        <w:rPr>
          <w:rFonts w:ascii="Tajawal" w:hAnsi="Tajawal" w:cs="Tajawal" w:eastAsia="Tajawal"/>
          <w:color w:val="7A3512"/>
          <w:sz w:val="22"/>
          <w:szCs w:val="22"/>
        </w:rPr>
        <w:t>• </w:t>
      </w:r>
      <w:r>
        <w:rPr>
          <w:rFonts w:ascii="Tajawal" w:hAnsi="Tajawal" w:cs="Tajawal" w:eastAsia="Tajawal"/>
        </w:rPr>
        <w:t xml:space="preserve">Open defects.</w:t>
      </w:r>
    </w:p>
    <w:p>
      <w:pPr>
        <w:pStyle w:val="ListParagraph"/>
      </w:pPr>
      <w:r>
        <w:rPr>
          <w:rFonts w:ascii="Tajawal" w:hAnsi="Tajawal" w:cs="Tajawal" w:eastAsia="Tajawal"/>
          <w:color w:val="7A3512"/>
          <w:sz w:val="22"/>
          <w:szCs w:val="22"/>
        </w:rPr>
        <w:t>• </w:t>
      </w:r>
      <w:r>
        <w:rPr>
          <w:rFonts w:ascii="Tajawal" w:hAnsi="Tajawal" w:cs="Tajawal" w:eastAsia="Tajawal"/>
        </w:rPr>
        <w:t xml:space="preserve">Accepted risks.</w:t>
      </w:r>
    </w:p>
    <w:p>
      <w:pPr>
        <w:pStyle w:val="ListParagraph"/>
      </w:pPr>
      <w:r>
        <w:rPr>
          <w:rFonts w:ascii="Tajawal" w:hAnsi="Tajawal" w:cs="Tajawal" w:eastAsia="Tajawal"/>
          <w:color w:val="7A3512"/>
          <w:sz w:val="22"/>
          <w:szCs w:val="22"/>
        </w:rPr>
        <w:t>• </w:t>
      </w:r>
      <w:r>
        <w:rPr>
          <w:rFonts w:ascii="Tajawal" w:hAnsi="Tajawal" w:cs="Tajawal" w:eastAsia="Tajawal"/>
        </w:rPr>
        <w:t xml:space="preserve">Rollback plan.</w:t>
      </w:r>
    </w:p>
    <w:p>
      <w:pPr>
        <w:pStyle w:val="ListParagraph"/>
      </w:pPr>
      <w:r>
        <w:rPr>
          <w:rFonts w:ascii="Tajawal" w:hAnsi="Tajawal" w:cs="Tajawal" w:eastAsia="Tajawal"/>
          <w:color w:val="7A3512"/>
          <w:sz w:val="22"/>
          <w:szCs w:val="22"/>
        </w:rPr>
        <w:t>• </w:t>
      </w:r>
      <w:r>
        <w:rPr>
          <w:rFonts w:ascii="Tajawal" w:hAnsi="Tajawal" w:cs="Tajawal" w:eastAsia="Tajawal"/>
        </w:rPr>
        <w:t xml:space="preserve">Business approver.</w:t>
      </w:r>
    </w:p>
    <w:p>
      <w:pPr>
        <w:pStyle w:val="ListParagraph"/>
      </w:pPr>
      <w:r>
        <w:rPr>
          <w:rFonts w:ascii="Tajawal" w:hAnsi="Tajawal" w:cs="Tajawal" w:eastAsia="Tajawal"/>
          <w:color w:val="7A3512"/>
          <w:sz w:val="22"/>
          <w:szCs w:val="22"/>
        </w:rPr>
        <w:t>• </w:t>
      </w:r>
      <w:r>
        <w:rPr>
          <w:rFonts w:ascii="Tajawal" w:hAnsi="Tajawal" w:cs="Tajawal" w:eastAsia="Tajawal"/>
        </w:rPr>
        <w:t xml:space="preserve">Technical approver.</w:t>
      </w:r>
    </w:p>
    <w:p>
      <w:pPr>
        <w:pStyle w:val="ListParagraph"/>
      </w:pPr>
      <w:r>
        <w:rPr>
          <w:rFonts w:ascii="Tajawal" w:hAnsi="Tajawal" w:cs="Tajawal" w:eastAsia="Tajawal"/>
          <w:color w:val="7A3512"/>
          <w:sz w:val="22"/>
          <w:szCs w:val="22"/>
        </w:rPr>
        <w:t>• </w:t>
      </w:r>
      <w:r>
        <w:rPr>
          <w:rFonts w:ascii="Tajawal" w:hAnsi="Tajawal" w:cs="Tajawal" w:eastAsia="Tajawal"/>
        </w:rPr>
        <w:t xml:space="preserve">Deployment timestamp.</w:t>
      </w:r>
    </w:p>
    <w:p>
      <w:pPr>
        <w:pStyle w:val="ListParagraph"/>
      </w:pPr>
      <w:r>
        <w:rPr>
          <w:rFonts w:ascii="Tajawal" w:hAnsi="Tajawal" w:cs="Tajawal" w:eastAsia="Tajawal"/>
          <w:color w:val="7A3512"/>
          <w:sz w:val="22"/>
          <w:szCs w:val="22"/>
        </w:rPr>
        <w:t>• </w:t>
      </w:r>
      <w:r>
        <w:rPr>
          <w:rFonts w:ascii="Tajawal" w:hAnsi="Tajawal" w:cs="Tajawal" w:eastAsia="Tajawal"/>
        </w:rPr>
        <w:t xml:space="preserve">Post-deployment smoke-test result.</w:t>
      </w:r>
    </w:p>
    <w:p>
      <w:pPr>
        <w:pStyle w:val="BodyText"/>
      </w:pPr>
      <w:r>
        <w:rPr>
          <w:rFonts w:ascii="Tajawal" w:hAnsi="Tajawal" w:cs="Tajawal" w:eastAsia="Tajawal"/>
        </w:rPr>
        <w:t xml:space="preserve">Production promotion requires approval from both business and technical ownership.</w:t>
      </w:r>
    </w:p>
    <w:p>
      <w:pPr>
        <w:pStyle w:val="Heading2"/>
      </w:pPr>
      <w:r>
        <w:rPr>
          <w:rFonts w:ascii="Tajawal" w:hAnsi="Tajawal" w:cs="Tajawal" w:eastAsia="Tajawal"/>
        </w:rPr>
        <w:t xml:space="preserve">16. Recommended Strategy</w:t>
      </w:r>
    </w:p>
    <w:p>
      <w:pPr>
        <w:pStyle w:val="BodyText"/>
      </w:pPr>
      <w:r>
        <w:rPr>
          <w:rFonts w:ascii="Tajawal" w:hAnsi="Tajawal" w:cs="Tajawal" w:eastAsia="Tajawal"/>
        </w:rPr>
        <w:t xml:space="preserve">CashLine should proceed with a controlled production MVP deployment using the following path:</w:t>
      </w:r>
    </w:p>
    <w:p>
      <w:pPr>
        <w:pStyle w:val="BodyText"/>
      </w:pPr>
      <w:r>
        <w:rPr>
          <w:rFonts w:ascii="Tajawal" w:hAnsi="Tajawal" w:cs="Tajawal" w:eastAsia="Tajawal"/>
          <w:b/>
          <w:bCs/>
        </w:rPr>
        <w:t xml:space="preserve">Development -&gt; QA -&gt; Staging/Pre-production -&gt; Controlled Production MVP -&gt; Stabilization -&gt; Wider rollout</w:t>
      </w:r>
    </w:p>
    <w:p>
      <w:pPr>
        <w:pStyle w:val="BodyText"/>
      </w:pPr>
      <w:r>
        <w:rPr>
          <w:rFonts w:ascii="Tajawal" w:hAnsi="Tajawal" w:cs="Tajawal" w:eastAsia="Tajawal"/>
        </w:rPr>
        <w:t xml:space="preserve">This strategy gives the business a credible live operating platform while protecting the system from uncontrolled go-live risk. It also keeps advanced modules, heavier integrations, and broader rollout behind proper readiness gates.</w:t>
      </w:r>
    </w:p>
    <w:p>
      <w:pPr>
        <w:pStyle w:val="BodyText"/>
      </w:pPr>
      <w:r>
        <w:rPr>
          <w:rFonts w:ascii="Tajawal" w:hAnsi="Tajawal" w:cs="Tajawal" w:eastAsia="Tajawal"/>
        </w:rPr>
        <w:t xml:space="preserve">The immediate focus should be to finalize environment readiness, database migration discipline, staging sign-off, production seed-data controls, smoke-test automation, rollback preparation, and hypercare governance before opening the platform to controlled MVP users.</w:t>
      </w:r>
    </w:p>
    <w:sectPr>
      <w:headerReference w:type="default" r:id="rIdHeader1"/>
      <w:footerReference w:type="default" r:id="rIdFooter1"/>
      <w:pgSz w:w="11906" w:h="16838"/>
      <w:pgMar w:top="1134" w:right="1008" w:bottom="1134" w:left="1008" w:header="567" w:footer="567" w:gutter="0"/>
      <w:cols w:space="708"/>
    </w:sectPr>
  </w:body>
</w:document>
</file>

<file path=word/footer1.xml><?xml version="1.0" encoding="utf-8"?>
<w:ftr xmlns:w="http://schemas.openxmlformats.org/wordprocessingml/2006/main" xmlns:r="http://schemas.openxmlformats.org/officeDocument/2006/relationships">
  <w:p>
    <w:pPr>
      <w:jc w:val="center"/>
      <w:pBdr>
        <w:top w:val="single" w:sz="4" w:space="2" w:color="E7D6C8"/>
      </w:pBdr>
    </w:pPr>
    <w:r>
      <w:rPr>
        <w:rFonts w:ascii="Tajawal" w:hAnsi="Tajawal" w:cs="Tajawal" w:eastAsia="Tajawal"/>
        <w:color w:val="6B7280"/>
        <w:sz w:val="16"/>
        <w:szCs w:val="16"/>
      </w:rPr>
      <w:t xml:space="preserve">Confidential - CashLine ERP Governance Deliverable  |  Page </w:t>
    </w:r>
    <w:r>
      <w:fldChar w:fldCharType="begin"/>
    </w:r>
    <w:r>
      <w:instrText xml:space="preserve"> PAGE </w:instrText>
    </w:r>
    <w:r>
      <w:fldChar w:fldCharType="separate"/>
    </w:r>
    <w:r>
      <w:t>1</w:t>
    </w:r>
    <w:r>
      <w:fldChar w:fldCharType="end"/>
    </w:r>
    <w:r>
      <w:rPr>
        <w:rFonts w:ascii="Tajawal" w:hAnsi="Tajawal" w:cs="Tajawal" w:eastAsia="Tajawal"/>
        <w:color w:val="6B7280"/>
        <w:sz w:val="16"/>
        <w:szCs w:val="16"/>
      </w:rPr>
      <w:t xml:space="preserve"> of </w:t>
    </w:r>
    <w:r>
      <w:fldChar w:fldCharType="begin"/>
    </w:r>
    <w:r>
      <w:instrText xml:space="preserve"> NUMPAGES </w:instrText>
    </w:r>
    <w:r>
      <w:fldChar w:fldCharType="separate"/>
    </w:r>
    <w:r>
      <w:t>1</w:t>
    </w:r>
    <w:r>
      <w:fldChar w:fldCharType="end"/>
    </w:r>
  </w:p>
</w:ftr>
</file>

<file path=word/header1.xml><?xml version="1.0" encoding="utf-8"?>
<w:hdr xmlns:w="http://schemas.openxmlformats.org/wordprocessingml/2006/main" xmlns:r="http://schemas.openxmlformats.org/officeDocument/2006/relationships">
  <w:p>
    <w:pPr>
      <w:jc w:val="both"/>
      <w:pBdr>
        <w:bottom w:val="single" w:sz="8" w:space="2" w:color="A94F18"/>
      </w:pBdr>
    </w:pPr>
    <w:r>
      <w:rPr>
        <w:rFonts w:ascii="Tajawal" w:hAnsi="Tajawal" w:cs="Tajawal" w:eastAsia="Tajawal"/>
        <w:b/>
        <w:bCs/>
        <w:color w:val="7A3512"/>
        <w:sz w:val="20"/>
        <w:szCs w:val="20"/>
      </w:rPr>
      <w:t>CashLine ERP</w:t>
    </w:r>
    <w:r>
      <w:rPr>
        <w:rFonts w:ascii="Tajawal" w:hAnsi="Tajawal" w:cs="Tajawal" w:eastAsia="Tajawal"/>
        <w:color w:val="6B7280"/>
        <w:sz w:val="18"/>
        <w:szCs w:val="18"/>
      </w:rPr>
      <w:t xml:space="preserve">  |  MVP Production Deployment Plan</w:t>
    </w:r>
  </w:p>
</w:hdr>
</file>

<file path=word/settings.xml><?xml version="1.0" encoding="utf-8"?>
<w:settings xmlns:w="http://schemas.openxmlformats.org/wordprocessingml/2006/main">
  <w:updateFields w:val="true"/>
  <w:defaultTabStop w:val="720"/>
</w:settings>
</file>

<file path=word/styles.xml><?xml version="1.0" encoding="utf-8"?>
<w:styles xmlns:w="http://schemas.openxmlformats.org/wordprocessingml/2006/main">
  <w:docDefaults>
    <w:rPrDefault>
      <w:rPr>
        <w:rFonts w:ascii="Tajawal" w:hAnsi="Tajawal" w:cs="Tajawal" w:eastAsia="Tajawal"/>
        <w:sz w:val="22"/>
        <w:szCs w:val="22"/>
        <w:color w:val="1F2933"/>
      </w:rPr>
    </w:rPrDefault>
    <w:pPrDefault>
      <w:pPr>
        <w:spacing w:after="160" w:line="276" w:lineRule="auto"/>
      </w:pPr>
    </w:pPrDefault>
  </w:docDefaults>
  <w:style w:type="paragraph" w:styleId="Normal">
    <w:name w:val="Normal"/>
    <w:pPr>
      <w:spacing w:after="160" w:line="276" w:lineRule="auto"/>
    </w:pPr>
    <w:rPr>
      <w:rFonts w:ascii="Tajawal" w:hAnsi="Tajawal" w:cs="Tajawal" w:eastAsia="Tajawal"/>
      <w:sz w:val="22"/>
      <w:szCs w:val="22"/>
      <w:color w:val="1F2933"/>
    </w:rPr>
  </w:style>
  <w:style w:type="paragraph" w:styleId="BodyText">
    <w:name w:val="Body Text"/>
    <w:basedOn w:val="Normal"/>
    <w:pPr>
      <w:spacing w:after="160" w:line="276" w:lineRule="auto"/>
    </w:pPr>
    <w:rPr>
      <w:rFonts w:ascii="Tajawal" w:hAnsi="Tajawal" w:cs="Tajawal" w:eastAsia="Tajawal"/>
      <w:sz w:val="22"/>
      <w:szCs w:val="22"/>
      <w:color w:val="1F2933"/>
    </w:rPr>
  </w:style>
  <w:style w:type="paragraph" w:styleId="BrandMark">
    <w:name w:val="Brand Mark"/>
    <w:basedOn w:val="Normal"/>
    <w:pPr>
      <w:spacing w:before="320" w:after="160"/>
    </w:pPr>
    <w:rPr>
      <w:rFonts w:ascii="Tajawal" w:hAnsi="Tajawal" w:cs="Tajawal"/>
      <w:b/>
      <w:color w:val="7A3512"/>
      <w:sz w:val="34"/>
      <w:szCs w:val="34"/>
    </w:rPr>
  </w:style>
  <w:style w:type="paragraph" w:styleId="CoverTitle">
    <w:name w:val="Cover Title"/>
    <w:basedOn w:val="Normal"/>
    <w:pPr>
      <w:spacing w:before="420" w:after="180"/>
    </w:pPr>
    <w:rPr>
      <w:rFonts w:ascii="Tajawal" w:hAnsi="Tajawal" w:cs="Tajawal"/>
      <w:b/>
      <w:color w:val="1F2933"/>
      <w:sz w:val="44"/>
      <w:szCs w:val="44"/>
    </w:rPr>
  </w:style>
  <w:style w:type="paragraph" w:styleId="CoverSubtitle">
    <w:name w:val="Cover Subtitle"/>
    <w:basedOn w:val="Normal"/>
    <w:pPr>
      <w:spacing w:after="280"/>
    </w:pPr>
    <w:rPr>
      <w:rFonts w:ascii="Tajawal" w:hAnsi="Tajawal" w:cs="Tajawal"/>
      <w:color w:val="6B7280"/>
      <w:sz w:val="24"/>
      <w:szCs w:val="24"/>
    </w:rPr>
  </w:style>
  <w:style w:type="paragraph" w:styleId="Heading1">
    <w:name w:val="Heading 1"/>
    <w:basedOn w:val="Normal"/>
    <w:pPr>
      <w:keepNext/>
      <w:spacing w:before="420" w:after="180"/>
      <w:pBdr>
        <w:bottom w:val="single" w:sz="8" w:space="4" w:color="A94F18"/>
      </w:pBdr>
    </w:pPr>
    <w:rPr>
      <w:rFonts w:ascii="Tajawal" w:hAnsi="Tajawal" w:cs="Tajawal"/>
      <w:b/>
      <w:color w:val="7A3512"/>
      <w:sz w:val="30"/>
      <w:szCs w:val="30"/>
    </w:rPr>
  </w:style>
  <w:style w:type="paragraph" w:styleId="Heading2">
    <w:name w:val="Heading 2"/>
    <w:basedOn w:val="Normal"/>
    <w:pPr>
      <w:keepNext/>
      <w:spacing w:before="320" w:after="140"/>
    </w:pPr>
    <w:rPr>
      <w:rFonts w:ascii="Tajawal" w:hAnsi="Tajawal" w:cs="Tajawal"/>
      <w:b/>
      <w:color w:val="1F2933"/>
      <w:sz w:val="26"/>
      <w:szCs w:val="26"/>
    </w:rPr>
  </w:style>
  <w:style w:type="paragraph" w:styleId="Heading3">
    <w:name w:val="Heading 3"/>
    <w:basedOn w:val="Normal"/>
    <w:pPr>
      <w:keepNext/>
      <w:spacing w:before="220" w:after="100"/>
    </w:pPr>
    <w:rPr>
      <w:rFonts w:ascii="Tajawal" w:hAnsi="Tajawal" w:cs="Tajawal"/>
      <w:b/>
      <w:color w:val="A94F18"/>
      <w:sz w:val="23"/>
      <w:szCs w:val="23"/>
    </w:rPr>
  </w:style>
  <w:style w:type="paragraph" w:styleId="ListParagraph">
    <w:name w:val="List Paragraph"/>
    <w:basedOn w:val="Normal"/>
    <w:pPr>
      <w:ind w:left="360" w:hanging="180"/>
      <w:spacing w:after="80" w:line="260" w:lineRule="auto"/>
    </w:pPr>
    <w:rPr>
      <w:rFonts w:ascii="Tajawal" w:hAnsi="Tajawal" w:cs="Tajawal" w:eastAsia="Tajawal"/>
      <w:sz w:val="22"/>
      <w:szCs w:val="22"/>
      <w:color w:val="1F2933"/>
    </w:rPr>
  </w:style>
  <w:style w:type="paragraph" w:styleId="TableText">
    <w:name w:val="Table Text"/>
    <w:basedOn w:val="Normal"/>
    <w:pPr>
      <w:spacing w:after="40" w:line="240" w:lineRule="auto"/>
    </w:pPr>
    <w:rPr>
      <w:rFonts w:ascii="Tajawal" w:hAnsi="Tajawal" w:cs="Tajawal"/>
      <w:sz w:val="18"/>
      <w:szCs w:val="18"/>
      <w:color w:val="1F2933"/>
    </w:rPr>
  </w:style>
  <w:style w:type="paragraph" w:styleId="Caption">
    <w:name w:val="Caption"/>
    <w:basedOn w:val="Normal"/>
    <w:pPr>
      <w:spacing w:before="160" w:after="120"/>
    </w:pPr>
    <w:rPr>
      <w:rFonts w:ascii="Tajawal" w:hAnsi="Tajawal" w:cs="Tajawal"/>
      <w:i/>
      <w:color w:val="6B7280"/>
      <w:sz w:val="18"/>
      <w:szCs w:val="18"/>
    </w:rPr>
  </w:style>
  <w:style w:type="paragraph" w:styleId="Callout">
    <w:name w:val="Callout"/>
    <w:basedOn w:val="Normal"/>
    <w:pPr>
      <w:spacing w:before="160" w:after="80"/>
      <w:shd w:fill="FFF3EA"/>
      <w:pBdr>
        <w:left w:val="single" w:sz="12" w:space="6" w:color="A94F18"/>
      </w:pBdr>
    </w:pPr>
    <w:rPr>
      <w:rFonts w:ascii="Tajawal" w:hAnsi="Tajawal" w:cs="Tajawal"/>
      <w:b/>
      <w:color w:val="7A3512"/>
      <w:sz w:val="21"/>
      <w:szCs w:val="21"/>
    </w:rPr>
  </w:style>
  <w:style w:type="table" w:styleId="CashLineTable">
    <w:name w:val="CashLine Table"/>
    <w:tblPr>
      <w:tblCellMar>
        <w:top w:w="90" w:type="dxa"/>
        <w:left w:w="110" w:type="dxa"/>
        <w:bottom w:w="90" w:type="dxa"/>
        <w:right w:w="110" w:type="dxa"/>
      </w:tblCellMar>
    </w:tblPr>
  </w:style>
</w:styles>
</file>

<file path=word/_rels/document.xml.rels><?xml version="1.0" encoding="UTF-8" standalone="yes"?>
<Relationships xmlns="http://schemas.openxmlformats.org/package/2006/relationships">
  <Relationship Id="rIdStyles" Type="http://schemas.openxmlformats.org/officeDocument/2006/relationships/styles" Target="styles.xml"/>
  <Relationship Id="rIdSettings" Type="http://schemas.openxmlformats.org/officeDocument/2006/relationships/settings" Target="settings.xml"/>
  <Relationship Id="rIdHeader1" Type="http://schemas.openxmlformats.org/officeDocument/2006/relationships/header" Target="header1.xml"/>
  <Relationship Id="rIdFooter1" Type="http://schemas.openxmlformats.org/officeDocument/2006/relationships/footer" Target="footer1.xml"/>
</Relationships>
</file>

<file path=docProps/app.xml><?xml version="1.0" encoding="utf-8"?>
<Properties xmlns="http://schemas.openxmlformats.org/officeDocument/2006/extended-properties" xmlns:vt="http://schemas.openxmlformats.org/officeDocument/2006/docPropsVTypes">
  <Application>CashLine ERP Document Generator</Application>
  <DocSecurity>0</DocSecurity>
  <ScaleCrop>false</ScaleCrop>
  <Company>CashLine ERP</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CashLine ERP MVP Production Deployment Plan</dc:title>
  <dc:creator>Codex</dc:creator>
  <cp:lastModifiedBy>Codex</cp:lastModifiedBy>
  <dcterms:created xsi:type="dcterms:W3CDTF">2026-04-24T10:08:52Z</dcterms:created>
  <dcterms:modified xsi:type="dcterms:W3CDTF">2026-04-24T10:08:52Z</dcterms:modified>
</cp:coreProperties>
</file>